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62A76" w14:textId="6EED8639" w:rsidR="00177B88" w:rsidRPr="00E106C5" w:rsidRDefault="00177B88" w:rsidP="00177B88">
      <w:pPr>
        <w:tabs>
          <w:tab w:val="center" w:pos="4536"/>
          <w:tab w:val="right" w:pos="9356"/>
          <w:tab w:val="right" w:pos="9639"/>
        </w:tabs>
        <w:spacing w:after="0"/>
        <w:rPr>
          <w:rFonts w:ascii="Arial" w:hAnsi="Arial" w:cs="Arial"/>
          <w:b/>
          <w:bCs/>
          <w:sz w:val="24"/>
        </w:rPr>
      </w:pPr>
      <w:bookmarkStart w:id="0" w:name="_GoBack"/>
      <w:bookmarkEnd w:id="0"/>
      <w:r w:rsidRPr="00E106C5">
        <w:rPr>
          <w:rFonts w:ascii="Arial" w:hAnsi="Arial" w:cs="Arial"/>
          <w:b/>
          <w:bCs/>
          <w:sz w:val="24"/>
        </w:rPr>
        <w:t xml:space="preserve">3GPP TSG RAN WG1 Meeting </w:t>
      </w:r>
      <w:r w:rsidR="004A30C2" w:rsidRPr="00E106C5">
        <w:rPr>
          <w:rFonts w:ascii="Arial" w:hAnsi="Arial" w:cs="Arial"/>
          <w:b/>
          <w:bCs/>
          <w:sz w:val="24"/>
        </w:rPr>
        <w:t>9</w:t>
      </w:r>
      <w:r w:rsidR="005601AC">
        <w:rPr>
          <w:rFonts w:ascii="Arial" w:hAnsi="Arial" w:cs="Arial"/>
          <w:b/>
          <w:bCs/>
          <w:sz w:val="24"/>
        </w:rPr>
        <w:t>1</w:t>
      </w:r>
      <w:r w:rsidRPr="00E106C5">
        <w:rPr>
          <w:rFonts w:ascii="Arial" w:eastAsia="MS Mincho" w:hAnsi="Arial" w:cs="Arial"/>
          <w:b/>
          <w:bCs/>
          <w:sz w:val="24"/>
          <w:lang w:eastAsia="ja-JP"/>
        </w:rPr>
        <w:tab/>
      </w:r>
      <w:r w:rsidRPr="00E106C5">
        <w:rPr>
          <w:rFonts w:ascii="Arial" w:hAnsi="Arial" w:cs="Arial"/>
          <w:b/>
          <w:bCs/>
          <w:sz w:val="24"/>
        </w:rPr>
        <w:t xml:space="preserve">           </w:t>
      </w:r>
      <w:r w:rsidR="00E106C5">
        <w:rPr>
          <w:rFonts w:ascii="Arial" w:hAnsi="Arial" w:cs="Arial"/>
          <w:b/>
          <w:bCs/>
          <w:sz w:val="24"/>
        </w:rPr>
        <w:tab/>
      </w:r>
      <w:r w:rsidR="00655816" w:rsidRPr="00655816">
        <w:rPr>
          <w:rFonts w:ascii="Arial" w:hAnsi="Arial" w:cs="Arial"/>
          <w:b/>
          <w:bCs/>
          <w:sz w:val="24"/>
        </w:rPr>
        <w:t>R1-1720506</w:t>
      </w:r>
    </w:p>
    <w:p w14:paraId="56A8114B" w14:textId="12F331F9" w:rsidR="00CA26CE" w:rsidRDefault="005601AC" w:rsidP="00CA26CE">
      <w:pPr>
        <w:pStyle w:val="Header"/>
        <w:rPr>
          <w:rFonts w:eastAsia="MS Mincho" w:cs="Arial"/>
          <w:bCs/>
          <w:noProof w:val="0"/>
          <w:sz w:val="24"/>
          <w:lang w:val="en-GB" w:eastAsia="ja-JP"/>
        </w:rPr>
      </w:pPr>
      <w:r w:rsidRPr="005601AC">
        <w:rPr>
          <w:rFonts w:eastAsia="MS Mincho" w:cs="Arial"/>
          <w:bCs/>
          <w:noProof w:val="0"/>
          <w:sz w:val="24"/>
          <w:lang w:val="en-GB" w:eastAsia="ja-JP"/>
        </w:rPr>
        <w:t>Reno, USA, November 27th – December 1st, 2017</w:t>
      </w:r>
    </w:p>
    <w:p w14:paraId="16D0C5EC" w14:textId="77777777" w:rsidR="005601AC" w:rsidRPr="0016316A" w:rsidRDefault="005601AC" w:rsidP="00CA26CE">
      <w:pPr>
        <w:pStyle w:val="Header"/>
        <w:rPr>
          <w:bCs/>
          <w:noProof w:val="0"/>
          <w:sz w:val="24"/>
          <w:lang w:val="en-GB" w:eastAsia="ja-JP"/>
        </w:rPr>
      </w:pPr>
    </w:p>
    <w:p w14:paraId="08AC4AD5" w14:textId="41580E9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4A30C2">
        <w:rPr>
          <w:rFonts w:cs="Arial"/>
          <w:b/>
          <w:bCs/>
          <w:sz w:val="24"/>
        </w:rPr>
        <w:t>7</w:t>
      </w:r>
      <w:r w:rsidR="00177B88">
        <w:rPr>
          <w:rFonts w:cs="Arial"/>
          <w:b/>
          <w:bCs/>
          <w:sz w:val="24"/>
        </w:rPr>
        <w:t>.1.3.1</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24EB3D9A"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77B88">
        <w:rPr>
          <w:rFonts w:ascii="Arial" w:hAnsi="Arial" w:cs="Arial"/>
          <w:b/>
          <w:bCs/>
          <w:sz w:val="24"/>
        </w:rPr>
        <w:t>Remaining details o</w:t>
      </w:r>
      <w:r w:rsidR="005601AC">
        <w:rPr>
          <w:rFonts w:ascii="Arial" w:hAnsi="Arial" w:cs="Arial"/>
          <w:b/>
          <w:bCs/>
          <w:sz w:val="24"/>
        </w:rPr>
        <w:t>n</w:t>
      </w:r>
      <w:r w:rsidR="00177B88">
        <w:rPr>
          <w:rFonts w:ascii="Arial" w:hAnsi="Arial" w:cs="Arial"/>
          <w:b/>
          <w:bCs/>
          <w:sz w:val="24"/>
        </w:rPr>
        <w:t xml:space="preserve"> PDCCH </w:t>
      </w:r>
      <w:r w:rsidR="00FC15E7">
        <w:rPr>
          <w:rFonts w:ascii="Arial" w:hAnsi="Arial" w:cs="Arial"/>
          <w:b/>
          <w:bCs/>
          <w:sz w:val="24"/>
        </w:rPr>
        <w:t>structure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35CE7641"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3A9F2E0A" w14:textId="08DE70E2" w:rsidR="00F825B5" w:rsidRDefault="00F825B5" w:rsidP="00F825B5">
      <w:pPr>
        <w:spacing w:after="120"/>
        <w:jc w:val="both"/>
        <w:rPr>
          <w:rFonts w:eastAsia="Malgun Gothic"/>
        </w:rPr>
      </w:pPr>
      <w:r>
        <w:rPr>
          <w:bCs/>
        </w:rPr>
        <w:t xml:space="preserve">This contribution </w:t>
      </w:r>
      <w:r w:rsidR="00655816">
        <w:rPr>
          <w:bCs/>
        </w:rPr>
        <w:t>deals with the</w:t>
      </w:r>
      <w:r>
        <w:rPr>
          <w:bCs/>
        </w:rPr>
        <w:t xml:space="preserve"> </w:t>
      </w:r>
      <w:r w:rsidR="001E1791">
        <w:rPr>
          <w:bCs/>
        </w:rPr>
        <w:t xml:space="preserve">remaining details of </w:t>
      </w:r>
      <w:r>
        <w:rPr>
          <w:bCs/>
        </w:rPr>
        <w:t xml:space="preserve">PDCCH </w:t>
      </w:r>
      <w:r w:rsidR="00FC15E7">
        <w:rPr>
          <w:bCs/>
        </w:rPr>
        <w:t>structure</w:t>
      </w:r>
      <w:r>
        <w:rPr>
          <w:bCs/>
        </w:rPr>
        <w:t xml:space="preserve"> for NR. The following agreements and working assumptions</w:t>
      </w:r>
      <w:r w:rsidR="006E1A08">
        <w:rPr>
          <w:bCs/>
        </w:rPr>
        <w:t xml:space="preserve"> were made in RAN1 #</w:t>
      </w:r>
      <w:r w:rsidR="00177B88">
        <w:rPr>
          <w:bCs/>
        </w:rPr>
        <w:t>90</w:t>
      </w:r>
      <w:r w:rsidR="005601AC">
        <w:rPr>
          <w:bCs/>
        </w:rPr>
        <w:t>bis</w:t>
      </w:r>
      <w:r w:rsidR="006E1A08">
        <w:rPr>
          <w:bCs/>
        </w:rPr>
        <w:t xml:space="preserve"> [</w:t>
      </w:r>
      <w:r w:rsidR="00E74104">
        <w:rPr>
          <w:bCs/>
        </w:rPr>
        <w:t>4</w:t>
      </w:r>
      <w:r w:rsidR="006E1A08">
        <w:rPr>
          <w:bCs/>
        </w:rPr>
        <w:t>]</w:t>
      </w:r>
      <w:r w:rsidR="00177B88">
        <w:rPr>
          <w:bCs/>
        </w:rPr>
        <w:t>.</w:t>
      </w:r>
    </w:p>
    <w:p w14:paraId="5FFCF2D7" w14:textId="4DCA59ED" w:rsidR="00907086" w:rsidRPr="004A1271" w:rsidRDefault="00907086" w:rsidP="00907086">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p>
    <w:p w14:paraId="6057C408" w14:textId="77777777" w:rsidR="005601AC" w:rsidRPr="005601AC" w:rsidRDefault="005601AC" w:rsidP="005601AC">
      <w:pPr>
        <w:pStyle w:val="ListParagraph"/>
        <w:numPr>
          <w:ilvl w:val="0"/>
          <w:numId w:val="2"/>
        </w:numPr>
        <w:spacing w:after="120"/>
        <w:jc w:val="both"/>
        <w:rPr>
          <w:rFonts w:eastAsia="Malgun Gothic"/>
          <w:sz w:val="17"/>
          <w:szCs w:val="17"/>
          <w:lang w:val="en-US"/>
        </w:rPr>
      </w:pPr>
      <w:r w:rsidRPr="005601AC">
        <w:rPr>
          <w:rFonts w:eastAsia="Malgun Gothic"/>
          <w:sz w:val="17"/>
          <w:szCs w:val="17"/>
          <w:lang w:val="en-US"/>
        </w:rPr>
        <w:t>Support for a UE, configurable ID for PDCCH DMRS at least for the initialization of DMRS sequence/scrambling.</w:t>
      </w:r>
    </w:p>
    <w:p w14:paraId="2208561A" w14:textId="77777777" w:rsidR="005601AC" w:rsidRPr="005601AC" w:rsidRDefault="005601AC" w:rsidP="005601AC">
      <w:pPr>
        <w:pStyle w:val="ListParagraph"/>
        <w:numPr>
          <w:ilvl w:val="1"/>
          <w:numId w:val="2"/>
        </w:numPr>
        <w:spacing w:after="120"/>
        <w:jc w:val="both"/>
        <w:rPr>
          <w:rFonts w:eastAsia="Malgun Gothic"/>
          <w:sz w:val="17"/>
          <w:szCs w:val="17"/>
          <w:lang w:val="en-US"/>
        </w:rPr>
      </w:pPr>
      <w:r w:rsidRPr="005601AC">
        <w:rPr>
          <w:rFonts w:eastAsia="Malgun Gothic"/>
          <w:sz w:val="17"/>
          <w:szCs w:val="17"/>
          <w:lang w:val="en-US"/>
        </w:rPr>
        <w:t>FFS: whether this is used also for other purpose.</w:t>
      </w:r>
    </w:p>
    <w:p w14:paraId="34DBEC34" w14:textId="77777777" w:rsidR="005601AC" w:rsidRPr="005601AC" w:rsidRDefault="005601AC" w:rsidP="005601AC">
      <w:pPr>
        <w:pStyle w:val="ListParagraph"/>
        <w:numPr>
          <w:ilvl w:val="1"/>
          <w:numId w:val="2"/>
        </w:numPr>
        <w:spacing w:after="120"/>
        <w:jc w:val="both"/>
        <w:rPr>
          <w:rFonts w:eastAsia="Malgun Gothic"/>
          <w:sz w:val="17"/>
          <w:szCs w:val="17"/>
          <w:lang w:val="en-US"/>
        </w:rPr>
      </w:pPr>
      <w:r w:rsidRPr="005601AC">
        <w:rPr>
          <w:rFonts w:eastAsia="Malgun Gothic"/>
          <w:sz w:val="17"/>
          <w:szCs w:val="17"/>
          <w:lang w:val="en-US"/>
        </w:rPr>
        <w:t xml:space="preserve">FFS details including the applicability of configurable ID </w:t>
      </w:r>
    </w:p>
    <w:p w14:paraId="2B08D02D" w14:textId="704E011E" w:rsidR="00EE7B5A" w:rsidRDefault="00EE7B5A" w:rsidP="005601AC">
      <w:pPr>
        <w:pStyle w:val="ListParagraph"/>
        <w:spacing w:after="120"/>
        <w:ind w:left="1440"/>
        <w:jc w:val="both"/>
        <w:rPr>
          <w:rFonts w:eastAsia="Malgun Gothic"/>
          <w:sz w:val="17"/>
          <w:szCs w:val="17"/>
          <w:lang w:val="en-US"/>
        </w:rPr>
      </w:pPr>
    </w:p>
    <w:p w14:paraId="07B5FE18" w14:textId="3477C580" w:rsidR="00F825B5" w:rsidRPr="004A1271" w:rsidRDefault="00F825B5" w:rsidP="00F825B5">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p>
    <w:p w14:paraId="4AD20CBE" w14:textId="08A5AC4B" w:rsidR="00A2190A" w:rsidRPr="00A2190A" w:rsidRDefault="00A2190A" w:rsidP="00A2190A">
      <w:pPr>
        <w:pStyle w:val="ListParagraph"/>
        <w:numPr>
          <w:ilvl w:val="0"/>
          <w:numId w:val="2"/>
        </w:numPr>
        <w:spacing w:after="120"/>
        <w:jc w:val="both"/>
        <w:rPr>
          <w:rFonts w:eastAsia="Malgun Gothic"/>
          <w:sz w:val="17"/>
          <w:szCs w:val="17"/>
          <w:lang w:val="en-US"/>
        </w:rPr>
      </w:pPr>
      <w:r w:rsidRPr="00A2190A">
        <w:rPr>
          <w:rFonts w:eastAsia="Malgun Gothic"/>
          <w:sz w:val="17"/>
          <w:szCs w:val="17"/>
          <w:lang w:val="en-US"/>
        </w:rPr>
        <w:t xml:space="preserve">NR support the following </w:t>
      </w:r>
      <w:proofErr w:type="spellStart"/>
      <w:r w:rsidRPr="00A2190A">
        <w:rPr>
          <w:rFonts w:eastAsia="Malgun Gothic"/>
          <w:sz w:val="17"/>
          <w:szCs w:val="17"/>
          <w:lang w:val="en-US"/>
        </w:rPr>
        <w:t>interleaver</w:t>
      </w:r>
      <w:proofErr w:type="spellEnd"/>
    </w:p>
    <w:p w14:paraId="773FBB73" w14:textId="299783C2" w:rsidR="00A2190A" w:rsidRPr="00A2190A" w:rsidRDefault="00A2190A" w:rsidP="00A2190A">
      <w:pPr>
        <w:pStyle w:val="ListParagraph"/>
        <w:numPr>
          <w:ilvl w:val="1"/>
          <w:numId w:val="2"/>
        </w:numPr>
        <w:spacing w:after="120"/>
        <w:jc w:val="both"/>
        <w:rPr>
          <w:rFonts w:eastAsia="Malgun Gothic"/>
          <w:sz w:val="17"/>
          <w:szCs w:val="17"/>
          <w:lang w:val="en-US"/>
        </w:rPr>
      </w:pPr>
      <w:r w:rsidRPr="00A2190A">
        <w:rPr>
          <w:rFonts w:eastAsia="Malgun Gothic"/>
          <w:sz w:val="17"/>
          <w:szCs w:val="17"/>
          <w:lang w:val="en-US"/>
        </w:rPr>
        <w:t>The number of rows A configured from {2, 3, and 6}, and the number of columns (P/A), where P is the number of interleaving unit for the given CORESET, and write in the row and read in the column</w:t>
      </w:r>
    </w:p>
    <w:p w14:paraId="6307103A" w14:textId="45CB106F" w:rsidR="00A2190A" w:rsidRPr="00A2190A" w:rsidRDefault="00A2190A" w:rsidP="00A2190A">
      <w:pPr>
        <w:pStyle w:val="ListParagraph"/>
        <w:numPr>
          <w:ilvl w:val="1"/>
          <w:numId w:val="2"/>
        </w:numPr>
        <w:spacing w:after="120"/>
        <w:jc w:val="both"/>
        <w:rPr>
          <w:rFonts w:eastAsia="Malgun Gothic"/>
          <w:sz w:val="17"/>
          <w:szCs w:val="17"/>
          <w:lang w:val="en-US"/>
        </w:rPr>
      </w:pPr>
      <w:r w:rsidRPr="00A2190A">
        <w:rPr>
          <w:rFonts w:eastAsia="Malgun Gothic"/>
          <w:sz w:val="17"/>
          <w:szCs w:val="17"/>
          <w:lang w:val="en-US"/>
        </w:rPr>
        <w:t>No any further permutation is introduced</w:t>
      </w:r>
    </w:p>
    <w:p w14:paraId="2F48F324" w14:textId="59F5448B" w:rsidR="005601AC" w:rsidRPr="005601AC" w:rsidRDefault="00A2190A" w:rsidP="00A2190A">
      <w:pPr>
        <w:pStyle w:val="ListParagraph"/>
        <w:numPr>
          <w:ilvl w:val="1"/>
          <w:numId w:val="2"/>
        </w:numPr>
        <w:spacing w:after="120"/>
        <w:jc w:val="both"/>
        <w:rPr>
          <w:rFonts w:eastAsia="Malgun Gothic"/>
          <w:sz w:val="17"/>
          <w:szCs w:val="17"/>
          <w:lang w:val="en-US"/>
        </w:rPr>
      </w:pPr>
      <w:r w:rsidRPr="00A2190A">
        <w:rPr>
          <w:rFonts w:eastAsia="Malgun Gothic"/>
          <w:sz w:val="17"/>
          <w:szCs w:val="17"/>
          <w:lang w:val="en-US"/>
        </w:rPr>
        <w:t>Cyclic shift of the interleaving unit is applied based on the configurable ID which is independent parameter from the configurable ID for DMRS</w:t>
      </w:r>
      <w:r w:rsidR="005601AC" w:rsidRPr="005601AC">
        <w:rPr>
          <w:rFonts w:eastAsia="Malgun Gothic"/>
          <w:sz w:val="17"/>
          <w:szCs w:val="17"/>
          <w:lang w:val="en-US"/>
        </w:rPr>
        <w:t xml:space="preserve"> </w:t>
      </w:r>
    </w:p>
    <w:p w14:paraId="7C7D05C3" w14:textId="77777777" w:rsidR="005601AC" w:rsidRPr="004A1271" w:rsidRDefault="005601AC" w:rsidP="005601AC">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p>
    <w:p w14:paraId="1E067FC9" w14:textId="77777777" w:rsidR="005601AC" w:rsidRDefault="005601AC" w:rsidP="005601AC">
      <w:pPr>
        <w:pStyle w:val="ListParagraph"/>
        <w:numPr>
          <w:ilvl w:val="0"/>
          <w:numId w:val="18"/>
        </w:numPr>
        <w:rPr>
          <w:rFonts w:eastAsia="Malgun Gothic"/>
          <w:sz w:val="17"/>
          <w:szCs w:val="17"/>
          <w:lang w:val="en-US"/>
        </w:rPr>
      </w:pPr>
      <w:r w:rsidRPr="005601AC">
        <w:rPr>
          <w:rFonts w:eastAsia="Malgun Gothic"/>
          <w:sz w:val="17"/>
          <w:szCs w:val="17"/>
          <w:lang w:val="en-US"/>
        </w:rPr>
        <w:t>Confirm the WA: DMRS is evenly distributed within a REG</w:t>
      </w:r>
    </w:p>
    <w:p w14:paraId="5AB91686" w14:textId="7A60FAA9" w:rsidR="00E74104" w:rsidRDefault="005601AC" w:rsidP="005601AC">
      <w:pPr>
        <w:pStyle w:val="ListParagraph"/>
        <w:numPr>
          <w:ilvl w:val="1"/>
          <w:numId w:val="18"/>
        </w:numPr>
        <w:rPr>
          <w:rFonts w:eastAsia="Malgun Gothic"/>
          <w:sz w:val="17"/>
          <w:szCs w:val="17"/>
          <w:lang w:val="en-US"/>
        </w:rPr>
      </w:pPr>
      <w:r w:rsidRPr="005601AC">
        <w:rPr>
          <w:rFonts w:eastAsia="Malgun Gothic"/>
          <w:sz w:val="17"/>
          <w:szCs w:val="17"/>
          <w:lang w:val="en-US"/>
        </w:rPr>
        <w:t>DMRS REs are #1, #5, #9</w:t>
      </w:r>
    </w:p>
    <w:p w14:paraId="757D31E2" w14:textId="77777777" w:rsidR="005601AC" w:rsidRPr="005601AC" w:rsidRDefault="005601AC" w:rsidP="005601AC">
      <w:pPr>
        <w:pStyle w:val="ListParagraph"/>
        <w:rPr>
          <w:rFonts w:eastAsia="Malgun Gothic"/>
          <w:sz w:val="17"/>
          <w:szCs w:val="17"/>
          <w:lang w:val="en-US"/>
        </w:rPr>
      </w:pPr>
    </w:p>
    <w:p w14:paraId="7A5EF153" w14:textId="77777777" w:rsidR="005601AC" w:rsidRPr="004A1271" w:rsidRDefault="005601AC" w:rsidP="005601AC">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p>
    <w:p w14:paraId="10DEEAD7" w14:textId="1FC0903A" w:rsidR="005601AC" w:rsidRPr="005601AC" w:rsidRDefault="005601AC" w:rsidP="005601AC">
      <w:pPr>
        <w:pStyle w:val="ListParagraph"/>
        <w:numPr>
          <w:ilvl w:val="0"/>
          <w:numId w:val="2"/>
        </w:numPr>
        <w:spacing w:after="120"/>
        <w:jc w:val="both"/>
        <w:rPr>
          <w:rFonts w:eastAsia="Malgun Gothic"/>
          <w:sz w:val="17"/>
          <w:szCs w:val="17"/>
          <w:lang w:val="en-US"/>
        </w:rPr>
      </w:pPr>
      <w:r w:rsidRPr="005601AC">
        <w:rPr>
          <w:rFonts w:eastAsia="Malgun Gothic"/>
          <w:sz w:val="17"/>
          <w:szCs w:val="17"/>
          <w:lang w:val="en-US"/>
        </w:rPr>
        <w:t>DMRS sequence is a Gold sequence as in LTE</w:t>
      </w:r>
    </w:p>
    <w:p w14:paraId="52E40495" w14:textId="3B0D7B11" w:rsidR="005601AC" w:rsidRPr="005601AC" w:rsidRDefault="005601AC" w:rsidP="005601AC">
      <w:pPr>
        <w:pStyle w:val="ListParagraph"/>
        <w:numPr>
          <w:ilvl w:val="1"/>
          <w:numId w:val="2"/>
        </w:numPr>
        <w:spacing w:after="120"/>
        <w:jc w:val="both"/>
        <w:rPr>
          <w:rFonts w:eastAsia="Malgun Gothic"/>
          <w:sz w:val="17"/>
          <w:szCs w:val="17"/>
          <w:lang w:val="en-US"/>
        </w:rPr>
      </w:pPr>
      <w:r w:rsidRPr="005601AC">
        <w:rPr>
          <w:rFonts w:eastAsia="Malgun Gothic"/>
          <w:sz w:val="17"/>
          <w:szCs w:val="17"/>
          <w:lang w:val="en-US"/>
        </w:rPr>
        <w:t>Note: in case if new Gold sequence is introduced for NR, this would be revisited</w:t>
      </w:r>
    </w:p>
    <w:p w14:paraId="1090B71A" w14:textId="13842D4A" w:rsidR="005601AC" w:rsidRPr="005601AC" w:rsidRDefault="005601AC" w:rsidP="005601AC">
      <w:pPr>
        <w:pStyle w:val="ListParagraph"/>
        <w:numPr>
          <w:ilvl w:val="1"/>
          <w:numId w:val="2"/>
        </w:numPr>
        <w:spacing w:after="120"/>
        <w:jc w:val="both"/>
        <w:rPr>
          <w:rFonts w:eastAsia="Malgun Gothic"/>
          <w:sz w:val="17"/>
          <w:szCs w:val="17"/>
          <w:lang w:val="en-US"/>
        </w:rPr>
      </w:pPr>
      <w:r w:rsidRPr="005601AC">
        <w:rPr>
          <w:rFonts w:eastAsia="Malgun Gothic"/>
          <w:sz w:val="17"/>
          <w:szCs w:val="17"/>
          <w:lang w:val="en-US"/>
        </w:rPr>
        <w:t>DMRS sequence for NR-PDCCH is obtained according to a reference point in frequency domain.</w:t>
      </w:r>
    </w:p>
    <w:p w14:paraId="568738B9" w14:textId="6AD3547A" w:rsidR="005601AC" w:rsidRPr="00A2190A" w:rsidRDefault="005601AC" w:rsidP="005601AC">
      <w:pPr>
        <w:pStyle w:val="ListParagraph"/>
        <w:numPr>
          <w:ilvl w:val="1"/>
          <w:numId w:val="2"/>
        </w:numPr>
        <w:spacing w:after="120"/>
        <w:jc w:val="both"/>
        <w:rPr>
          <w:rFonts w:eastAsia="Malgun Gothic"/>
          <w:sz w:val="17"/>
          <w:szCs w:val="17"/>
          <w:lang w:val="en-US"/>
        </w:rPr>
      </w:pPr>
      <w:r w:rsidRPr="00A2190A">
        <w:rPr>
          <w:rFonts w:eastAsia="Malgun Gothic"/>
          <w:sz w:val="17"/>
          <w:szCs w:val="17"/>
          <w:lang w:val="en-US"/>
        </w:rPr>
        <w:t>FFS the reference point</w:t>
      </w:r>
    </w:p>
    <w:p w14:paraId="260283F8" w14:textId="77777777" w:rsidR="00BE19DC" w:rsidRDefault="00BE19DC" w:rsidP="00BE19DC">
      <w:pPr>
        <w:pStyle w:val="ListParagraph"/>
        <w:ind w:left="1440"/>
        <w:rPr>
          <w:rFonts w:eastAsia="MS Mincho"/>
          <w:sz w:val="17"/>
          <w:szCs w:val="17"/>
          <w:lang w:val="en-US" w:eastAsia="ja-JP"/>
        </w:rPr>
      </w:pPr>
    </w:p>
    <w:p w14:paraId="0AF4BBDE" w14:textId="77777777" w:rsidR="005601AC" w:rsidRPr="004A1271" w:rsidRDefault="005601AC" w:rsidP="005601AC">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p>
    <w:p w14:paraId="4ACD0047" w14:textId="77777777" w:rsidR="005601AC" w:rsidRPr="005601AC" w:rsidRDefault="005601AC" w:rsidP="005601AC">
      <w:pPr>
        <w:numPr>
          <w:ilvl w:val="0"/>
          <w:numId w:val="2"/>
        </w:numPr>
        <w:overflowPunct/>
        <w:autoSpaceDE/>
        <w:autoSpaceDN/>
        <w:adjustRightInd/>
        <w:spacing w:after="0"/>
        <w:textAlignment w:val="auto"/>
        <w:rPr>
          <w:sz w:val="17"/>
          <w:szCs w:val="17"/>
          <w:lang w:val="en-US"/>
        </w:rPr>
      </w:pPr>
      <w:r w:rsidRPr="005601AC">
        <w:rPr>
          <w:sz w:val="17"/>
          <w:szCs w:val="17"/>
        </w:rPr>
        <w:t>Confirm the WA with the following clarifications (</w:t>
      </w:r>
      <w:r w:rsidRPr="005601AC">
        <w:rPr>
          <w:color w:val="FF0000"/>
          <w:sz w:val="17"/>
          <w:szCs w:val="17"/>
          <w:u w:val="single"/>
        </w:rPr>
        <w:t>in red</w:t>
      </w:r>
      <w:r w:rsidRPr="005601AC">
        <w:rPr>
          <w:sz w:val="17"/>
          <w:szCs w:val="17"/>
        </w:rPr>
        <w:t>):</w:t>
      </w:r>
    </w:p>
    <w:p w14:paraId="3590831A" w14:textId="77777777" w:rsidR="005601AC" w:rsidRPr="005601AC" w:rsidRDefault="005601AC" w:rsidP="005601AC">
      <w:pPr>
        <w:numPr>
          <w:ilvl w:val="0"/>
          <w:numId w:val="2"/>
        </w:numPr>
        <w:overflowPunct/>
        <w:autoSpaceDE/>
        <w:autoSpaceDN/>
        <w:adjustRightInd/>
        <w:spacing w:after="0"/>
        <w:textAlignment w:val="auto"/>
        <w:rPr>
          <w:sz w:val="17"/>
          <w:szCs w:val="17"/>
          <w:lang w:val="en-US"/>
        </w:rPr>
      </w:pPr>
      <w:r w:rsidRPr="005601AC">
        <w:rPr>
          <w:sz w:val="17"/>
          <w:szCs w:val="17"/>
        </w:rPr>
        <w:t xml:space="preserve">For </w:t>
      </w:r>
      <w:r w:rsidRPr="005601AC">
        <w:rPr>
          <w:color w:val="FF0000"/>
          <w:sz w:val="17"/>
          <w:szCs w:val="17"/>
          <w:u w:val="single"/>
        </w:rPr>
        <w:t>each</w:t>
      </w:r>
      <w:r w:rsidRPr="005601AC">
        <w:rPr>
          <w:sz w:val="17"/>
          <w:szCs w:val="17"/>
        </w:rPr>
        <w:t xml:space="preserve"> CORESET, precoder granularity in frequency domain is:</w:t>
      </w:r>
    </w:p>
    <w:p w14:paraId="04025816" w14:textId="77777777" w:rsidR="005601AC" w:rsidRPr="005601AC" w:rsidRDefault="005601AC" w:rsidP="005601AC">
      <w:pPr>
        <w:numPr>
          <w:ilvl w:val="1"/>
          <w:numId w:val="2"/>
        </w:numPr>
        <w:overflowPunct/>
        <w:autoSpaceDE/>
        <w:autoSpaceDN/>
        <w:adjustRightInd/>
        <w:spacing w:after="0"/>
        <w:textAlignment w:val="auto"/>
        <w:rPr>
          <w:sz w:val="17"/>
          <w:szCs w:val="17"/>
          <w:lang w:val="en-US"/>
        </w:rPr>
      </w:pPr>
      <w:r w:rsidRPr="005601AC">
        <w:rPr>
          <w:sz w:val="17"/>
          <w:szCs w:val="17"/>
        </w:rPr>
        <w:t>Configurable between i) equal to the REG bundle size in the frequency domain; or ii) equal to the number of contiguous RBs in the frequency domain within the CORESET</w:t>
      </w:r>
    </w:p>
    <w:p w14:paraId="68F9FD16" w14:textId="77777777" w:rsidR="005601AC" w:rsidRPr="005601AC" w:rsidRDefault="005601AC" w:rsidP="005601AC">
      <w:pPr>
        <w:numPr>
          <w:ilvl w:val="2"/>
          <w:numId w:val="2"/>
        </w:numPr>
        <w:overflowPunct/>
        <w:autoSpaceDE/>
        <w:autoSpaceDN/>
        <w:adjustRightInd/>
        <w:spacing w:after="0"/>
        <w:textAlignment w:val="auto"/>
        <w:rPr>
          <w:sz w:val="17"/>
          <w:szCs w:val="17"/>
          <w:lang w:val="en-US"/>
        </w:rPr>
      </w:pPr>
      <w:r w:rsidRPr="005601AC">
        <w:rPr>
          <w:sz w:val="17"/>
          <w:szCs w:val="17"/>
        </w:rPr>
        <w:t>For ii), DMRS is mapped over all REGs within CORESET.</w:t>
      </w:r>
    </w:p>
    <w:p w14:paraId="596F1E91" w14:textId="77777777" w:rsidR="005601AC" w:rsidRPr="005601AC" w:rsidRDefault="005601AC" w:rsidP="005601AC">
      <w:pPr>
        <w:numPr>
          <w:ilvl w:val="2"/>
          <w:numId w:val="2"/>
        </w:numPr>
        <w:overflowPunct/>
        <w:autoSpaceDE/>
        <w:autoSpaceDN/>
        <w:adjustRightInd/>
        <w:spacing w:after="0"/>
        <w:textAlignment w:val="auto"/>
        <w:rPr>
          <w:color w:val="FF0000"/>
          <w:sz w:val="17"/>
          <w:szCs w:val="17"/>
          <w:u w:val="single"/>
          <w:lang w:val="en-US"/>
        </w:rPr>
      </w:pPr>
      <w:r w:rsidRPr="005601AC">
        <w:rPr>
          <w:color w:val="FF0000"/>
          <w:sz w:val="17"/>
          <w:szCs w:val="17"/>
          <w:u w:val="single"/>
        </w:rPr>
        <w:t xml:space="preserve">RAN1 </w:t>
      </w:r>
      <w:r w:rsidRPr="005601AC">
        <w:rPr>
          <w:color w:val="FF0000"/>
          <w:sz w:val="17"/>
          <w:szCs w:val="17"/>
          <w:u w:val="single"/>
          <w:lang w:val="en-US"/>
        </w:rPr>
        <w:t>assumes that CORESET for PDCCH scheduling RMSI can be configured with Option i)</w:t>
      </w:r>
    </w:p>
    <w:p w14:paraId="2900482B" w14:textId="16F477E5" w:rsidR="005601AC" w:rsidRPr="005601AC" w:rsidRDefault="005601AC" w:rsidP="005601AC">
      <w:pPr>
        <w:pStyle w:val="ListParagraph"/>
        <w:numPr>
          <w:ilvl w:val="1"/>
          <w:numId w:val="2"/>
        </w:numPr>
        <w:spacing w:after="120"/>
        <w:jc w:val="both"/>
        <w:rPr>
          <w:rFonts w:eastAsia="Malgun Gothic"/>
          <w:sz w:val="17"/>
          <w:szCs w:val="17"/>
          <w:lang w:val="en-US"/>
        </w:rPr>
      </w:pPr>
      <w:r w:rsidRPr="005601AC">
        <w:rPr>
          <w:color w:val="FF0000"/>
          <w:sz w:val="17"/>
          <w:szCs w:val="17"/>
          <w:u w:val="single"/>
          <w:lang w:val="sv-SE"/>
        </w:rPr>
        <w:t xml:space="preserve">In Option ii) UE </w:t>
      </w:r>
      <w:proofErr w:type="spellStart"/>
      <w:r w:rsidRPr="005601AC">
        <w:rPr>
          <w:color w:val="FF0000"/>
          <w:sz w:val="17"/>
          <w:szCs w:val="17"/>
          <w:u w:val="single"/>
          <w:lang w:val="sv-SE"/>
        </w:rPr>
        <w:t>may</w:t>
      </w:r>
      <w:proofErr w:type="spellEnd"/>
      <w:r w:rsidRPr="005601AC">
        <w:rPr>
          <w:color w:val="FF0000"/>
          <w:sz w:val="17"/>
          <w:szCs w:val="17"/>
          <w:u w:val="single"/>
          <w:lang w:val="sv-SE"/>
        </w:rPr>
        <w:t xml:space="preserve"> </w:t>
      </w:r>
      <w:proofErr w:type="spellStart"/>
      <w:r w:rsidRPr="005601AC">
        <w:rPr>
          <w:color w:val="FF0000"/>
          <w:sz w:val="17"/>
          <w:szCs w:val="17"/>
          <w:u w:val="single"/>
          <w:lang w:val="sv-SE"/>
        </w:rPr>
        <w:t>assume</w:t>
      </w:r>
      <w:proofErr w:type="spellEnd"/>
      <w:r w:rsidRPr="005601AC">
        <w:rPr>
          <w:color w:val="FF0000"/>
          <w:sz w:val="17"/>
          <w:szCs w:val="17"/>
          <w:u w:val="single"/>
          <w:lang w:val="sv-SE"/>
        </w:rPr>
        <w:t xml:space="preserve"> DMRS is present in all </w:t>
      </w:r>
      <w:proofErr w:type="spellStart"/>
      <w:r w:rsidRPr="005601AC">
        <w:rPr>
          <w:color w:val="FF0000"/>
          <w:sz w:val="17"/>
          <w:szCs w:val="17"/>
          <w:u w:val="single"/>
          <w:lang w:val="sv-SE"/>
        </w:rPr>
        <w:t>REGs</w:t>
      </w:r>
      <w:proofErr w:type="spellEnd"/>
      <w:r w:rsidRPr="005601AC">
        <w:rPr>
          <w:color w:val="FF0000"/>
          <w:sz w:val="17"/>
          <w:szCs w:val="17"/>
          <w:u w:val="single"/>
          <w:lang w:val="sv-SE"/>
        </w:rPr>
        <w:t xml:space="preserve"> </w:t>
      </w:r>
      <w:proofErr w:type="spellStart"/>
      <w:r w:rsidRPr="005601AC">
        <w:rPr>
          <w:color w:val="FF0000"/>
          <w:sz w:val="17"/>
          <w:szCs w:val="17"/>
          <w:u w:val="single"/>
          <w:lang w:val="sv-SE"/>
        </w:rPr>
        <w:t>within</w:t>
      </w:r>
      <w:proofErr w:type="spellEnd"/>
      <w:r w:rsidRPr="005601AC">
        <w:rPr>
          <w:color w:val="FF0000"/>
          <w:sz w:val="17"/>
          <w:szCs w:val="17"/>
          <w:u w:val="single"/>
          <w:lang w:val="sv-SE"/>
        </w:rPr>
        <w:t xml:space="preserve"> the set </w:t>
      </w:r>
      <w:proofErr w:type="spellStart"/>
      <w:r w:rsidRPr="005601AC">
        <w:rPr>
          <w:color w:val="FF0000"/>
          <w:sz w:val="17"/>
          <w:szCs w:val="17"/>
          <w:u w:val="single"/>
          <w:lang w:val="sv-SE"/>
        </w:rPr>
        <w:t>of</w:t>
      </w:r>
      <w:proofErr w:type="spellEnd"/>
      <w:r w:rsidRPr="005601AC">
        <w:rPr>
          <w:color w:val="FF0000"/>
          <w:sz w:val="17"/>
          <w:szCs w:val="17"/>
          <w:u w:val="single"/>
          <w:lang w:val="sv-SE"/>
        </w:rPr>
        <w:t xml:space="preserve"> </w:t>
      </w:r>
      <w:proofErr w:type="spellStart"/>
      <w:r w:rsidRPr="005601AC">
        <w:rPr>
          <w:color w:val="FF0000"/>
          <w:sz w:val="17"/>
          <w:szCs w:val="17"/>
          <w:u w:val="single"/>
          <w:lang w:val="sv-SE"/>
        </w:rPr>
        <w:t>contiguous</w:t>
      </w:r>
      <w:proofErr w:type="spellEnd"/>
      <w:r w:rsidRPr="005601AC">
        <w:rPr>
          <w:color w:val="FF0000"/>
          <w:sz w:val="17"/>
          <w:szCs w:val="17"/>
          <w:u w:val="single"/>
          <w:lang w:val="sv-SE"/>
        </w:rPr>
        <w:t xml:space="preserve"> RBs </w:t>
      </w:r>
      <w:proofErr w:type="spellStart"/>
      <w:r w:rsidRPr="005601AC">
        <w:rPr>
          <w:color w:val="FF0000"/>
          <w:sz w:val="17"/>
          <w:szCs w:val="17"/>
          <w:u w:val="single"/>
          <w:lang w:val="sv-SE"/>
        </w:rPr>
        <w:t>of</w:t>
      </w:r>
      <w:proofErr w:type="spellEnd"/>
      <w:r w:rsidRPr="005601AC">
        <w:rPr>
          <w:color w:val="FF0000"/>
          <w:sz w:val="17"/>
          <w:szCs w:val="17"/>
          <w:u w:val="single"/>
          <w:lang w:val="sv-SE"/>
        </w:rPr>
        <w:t xml:space="preserve"> the CORESET </w:t>
      </w:r>
      <w:proofErr w:type="spellStart"/>
      <w:r w:rsidRPr="005601AC">
        <w:rPr>
          <w:color w:val="FF0000"/>
          <w:sz w:val="17"/>
          <w:szCs w:val="17"/>
          <w:u w:val="single"/>
          <w:lang w:val="sv-SE"/>
        </w:rPr>
        <w:t>where</w:t>
      </w:r>
      <w:proofErr w:type="spellEnd"/>
      <w:r w:rsidRPr="005601AC">
        <w:rPr>
          <w:color w:val="FF0000"/>
          <w:sz w:val="17"/>
          <w:szCs w:val="17"/>
          <w:u w:val="single"/>
          <w:lang w:val="sv-SE"/>
        </w:rPr>
        <w:t xml:space="preserve"> and </w:t>
      </w:r>
      <w:proofErr w:type="spellStart"/>
      <w:r w:rsidRPr="005601AC">
        <w:rPr>
          <w:color w:val="FF0000"/>
          <w:sz w:val="17"/>
          <w:szCs w:val="17"/>
          <w:u w:val="single"/>
          <w:lang w:val="sv-SE"/>
        </w:rPr>
        <w:t>when</w:t>
      </w:r>
      <w:proofErr w:type="spellEnd"/>
      <w:r w:rsidRPr="005601AC">
        <w:rPr>
          <w:color w:val="FF0000"/>
          <w:sz w:val="17"/>
          <w:szCs w:val="17"/>
          <w:u w:val="single"/>
          <w:lang w:val="sv-SE"/>
        </w:rPr>
        <w:t xml:space="preserve"> at </w:t>
      </w:r>
      <w:proofErr w:type="spellStart"/>
      <w:r w:rsidRPr="005601AC">
        <w:rPr>
          <w:color w:val="FF0000"/>
          <w:sz w:val="17"/>
          <w:szCs w:val="17"/>
          <w:u w:val="single"/>
          <w:lang w:val="sv-SE"/>
        </w:rPr>
        <w:t>least</w:t>
      </w:r>
      <w:proofErr w:type="spellEnd"/>
      <w:r w:rsidRPr="005601AC">
        <w:rPr>
          <w:color w:val="FF0000"/>
          <w:sz w:val="17"/>
          <w:szCs w:val="17"/>
          <w:u w:val="single"/>
          <w:lang w:val="sv-SE"/>
        </w:rPr>
        <w:t xml:space="preserve"> </w:t>
      </w:r>
      <w:proofErr w:type="spellStart"/>
      <w:r w:rsidRPr="005601AC">
        <w:rPr>
          <w:color w:val="FF0000"/>
          <w:sz w:val="17"/>
          <w:szCs w:val="17"/>
          <w:u w:val="single"/>
          <w:lang w:val="sv-SE"/>
        </w:rPr>
        <w:t>one</w:t>
      </w:r>
      <w:proofErr w:type="spellEnd"/>
      <w:r w:rsidRPr="005601AC">
        <w:rPr>
          <w:color w:val="FF0000"/>
          <w:sz w:val="17"/>
          <w:szCs w:val="17"/>
          <w:u w:val="single"/>
          <w:lang w:val="sv-SE"/>
        </w:rPr>
        <w:t xml:space="preserve"> REG </w:t>
      </w:r>
      <w:proofErr w:type="spellStart"/>
      <w:r w:rsidRPr="005601AC">
        <w:rPr>
          <w:color w:val="FF0000"/>
          <w:sz w:val="17"/>
          <w:szCs w:val="17"/>
          <w:u w:val="single"/>
          <w:lang w:val="sv-SE"/>
        </w:rPr>
        <w:t>of</w:t>
      </w:r>
      <w:proofErr w:type="spellEnd"/>
      <w:r w:rsidRPr="005601AC">
        <w:rPr>
          <w:color w:val="FF0000"/>
          <w:sz w:val="17"/>
          <w:szCs w:val="17"/>
          <w:u w:val="single"/>
          <w:lang w:val="sv-SE"/>
        </w:rPr>
        <w:t xml:space="preserve"> a </w:t>
      </w:r>
      <w:proofErr w:type="spellStart"/>
      <w:r w:rsidRPr="005601AC">
        <w:rPr>
          <w:color w:val="FF0000"/>
          <w:sz w:val="17"/>
          <w:szCs w:val="17"/>
          <w:u w:val="single"/>
          <w:lang w:val="sv-SE"/>
        </w:rPr>
        <w:t>candidate</w:t>
      </w:r>
      <w:proofErr w:type="spellEnd"/>
      <w:r w:rsidRPr="005601AC">
        <w:rPr>
          <w:color w:val="FF0000"/>
          <w:sz w:val="17"/>
          <w:szCs w:val="17"/>
          <w:u w:val="single"/>
          <w:lang w:val="sv-SE"/>
        </w:rPr>
        <w:t xml:space="preserve"> is </w:t>
      </w:r>
      <w:proofErr w:type="spellStart"/>
      <w:r w:rsidRPr="005601AC">
        <w:rPr>
          <w:color w:val="FF0000"/>
          <w:sz w:val="17"/>
          <w:szCs w:val="17"/>
          <w:u w:val="single"/>
          <w:lang w:val="sv-SE"/>
        </w:rPr>
        <w:t>mapped</w:t>
      </w:r>
      <w:proofErr w:type="spellEnd"/>
    </w:p>
    <w:p w14:paraId="27473ADF" w14:textId="77777777" w:rsidR="006463D6" w:rsidRPr="00BE19DC" w:rsidRDefault="006463D6" w:rsidP="006463D6">
      <w:pPr>
        <w:pStyle w:val="ListParagraph"/>
        <w:spacing w:afterLines="50" w:after="120"/>
        <w:ind w:left="1648"/>
        <w:contextualSpacing w:val="0"/>
        <w:jc w:val="both"/>
        <w:rPr>
          <w:rFonts w:eastAsia="MS Mincho"/>
          <w:sz w:val="17"/>
          <w:szCs w:val="17"/>
          <w:lang w:val="en-US"/>
        </w:rPr>
      </w:pPr>
    </w:p>
    <w:p w14:paraId="10FD11CC" w14:textId="12CC1647" w:rsidR="00062630" w:rsidRDefault="00062630" w:rsidP="00062630">
      <w:pPr>
        <w:pStyle w:val="Heading1"/>
      </w:pPr>
      <w:r>
        <w:rPr>
          <w:color w:val="000000"/>
        </w:rPr>
        <w:t>2</w:t>
      </w:r>
      <w:r w:rsidRPr="00A51522">
        <w:rPr>
          <w:color w:val="000000"/>
        </w:rPr>
        <w:tab/>
      </w:r>
      <w:r w:rsidR="000B36F4">
        <w:t>DMRS sequence</w:t>
      </w:r>
    </w:p>
    <w:p w14:paraId="54838722" w14:textId="1CDFF25E" w:rsidR="000B36F4" w:rsidRDefault="00A2190A" w:rsidP="000B36F4">
      <w:r>
        <w:t xml:space="preserve">The </w:t>
      </w:r>
      <w:r w:rsidR="000B36F4">
        <w:t xml:space="preserve">it was agreed in RAN1#90bis that </w:t>
      </w:r>
      <w:r w:rsidR="000B36F4" w:rsidRPr="000B36F4">
        <w:rPr>
          <w:i/>
        </w:rPr>
        <w:t>“</w:t>
      </w:r>
      <w:r w:rsidR="000B36F4" w:rsidRPr="000B36F4">
        <w:rPr>
          <w:rFonts w:eastAsia="Malgun Gothic"/>
          <w:i/>
          <w:szCs w:val="17"/>
          <w:lang w:val="en-US"/>
        </w:rPr>
        <w:t>DMRS sequence for NR-PDCCH is obtained according to a reference point in frequency domain</w:t>
      </w:r>
      <w:r w:rsidR="000B36F4">
        <w:t>”. However, the</w:t>
      </w:r>
      <w:r w:rsidR="00AF4145">
        <w:t xml:space="preserve"> actual</w:t>
      </w:r>
      <w:r w:rsidR="000B36F4">
        <w:t xml:space="preserve"> reference point was left FFS.</w:t>
      </w:r>
    </w:p>
    <w:p w14:paraId="748FABFA" w14:textId="77777777" w:rsidR="00C92490" w:rsidRDefault="0035274C" w:rsidP="00C92490">
      <w:pPr>
        <w:spacing w:after="0"/>
        <w:rPr>
          <w:lang w:val="en-US"/>
        </w:rPr>
      </w:pPr>
      <w:r>
        <w:t xml:space="preserve">We think that </w:t>
      </w:r>
      <w:r>
        <w:rPr>
          <w:lang w:val="en-US"/>
        </w:rPr>
        <w:t>r</w:t>
      </w:r>
      <w:r w:rsidRPr="000B36F4">
        <w:rPr>
          <w:lang w:val="en-US"/>
        </w:rPr>
        <w:t xml:space="preserve">eference point </w:t>
      </w:r>
      <w:r w:rsidR="00C92490">
        <w:rPr>
          <w:lang w:val="en-US"/>
        </w:rPr>
        <w:t>for DMRS sequence can be defined in the following way:</w:t>
      </w:r>
      <w:r w:rsidRPr="000B36F4">
        <w:rPr>
          <w:lang w:val="en-US"/>
        </w:rPr>
        <w:t xml:space="preserve"> </w:t>
      </w:r>
    </w:p>
    <w:p w14:paraId="2ABAE77E" w14:textId="5661BFC3" w:rsidR="0035274C" w:rsidRPr="00C92490" w:rsidRDefault="0035274C" w:rsidP="00C92490">
      <w:pPr>
        <w:pStyle w:val="ListParagraph"/>
        <w:numPr>
          <w:ilvl w:val="0"/>
          <w:numId w:val="18"/>
        </w:numPr>
        <w:rPr>
          <w:sz w:val="20"/>
          <w:lang w:val="en-US"/>
        </w:rPr>
      </w:pPr>
      <w:r w:rsidRPr="00C92490">
        <w:rPr>
          <w:sz w:val="20"/>
          <w:lang w:val="en-US"/>
        </w:rPr>
        <w:t>PRB0 of Initial BWP is used</w:t>
      </w:r>
      <w:r w:rsidR="00C92490">
        <w:rPr>
          <w:sz w:val="20"/>
          <w:lang w:val="en-US"/>
        </w:rPr>
        <w:t xml:space="preserve"> as the reference point</w:t>
      </w:r>
      <w:r w:rsidRPr="00C92490">
        <w:rPr>
          <w:sz w:val="20"/>
          <w:lang w:val="en-US"/>
        </w:rPr>
        <w:t xml:space="preserve"> when monitoring PDCCH from CORESETs defined for RMSI, OSI and Paging</w:t>
      </w:r>
      <w:r w:rsidR="00AF4145">
        <w:rPr>
          <w:sz w:val="20"/>
          <w:lang w:val="en-US"/>
        </w:rPr>
        <w:t>.</w:t>
      </w:r>
      <w:r w:rsidR="00C92490">
        <w:rPr>
          <w:sz w:val="20"/>
          <w:lang w:val="en-US"/>
        </w:rPr>
        <w:t xml:space="preserve"> </w:t>
      </w:r>
    </w:p>
    <w:p w14:paraId="6B64914C" w14:textId="02BD051B" w:rsidR="0035274C" w:rsidRDefault="0035274C" w:rsidP="0035274C">
      <w:pPr>
        <w:pStyle w:val="ListParagraph"/>
        <w:numPr>
          <w:ilvl w:val="0"/>
          <w:numId w:val="18"/>
        </w:numPr>
        <w:rPr>
          <w:sz w:val="20"/>
          <w:lang w:val="en-US"/>
        </w:rPr>
      </w:pPr>
      <w:r>
        <w:rPr>
          <w:sz w:val="20"/>
          <w:lang w:val="en-US"/>
        </w:rPr>
        <w:t xml:space="preserve">PRB0 of common indexing is used </w:t>
      </w:r>
      <w:r w:rsidR="00C92490" w:rsidRPr="00C92490">
        <w:rPr>
          <w:sz w:val="20"/>
          <w:lang w:val="en-US"/>
        </w:rPr>
        <w:t>is used</w:t>
      </w:r>
      <w:r w:rsidR="00C92490">
        <w:rPr>
          <w:sz w:val="20"/>
          <w:lang w:val="en-US"/>
        </w:rPr>
        <w:t xml:space="preserve"> as the reference point</w:t>
      </w:r>
      <w:r w:rsidR="00C92490" w:rsidRPr="00C92490">
        <w:rPr>
          <w:sz w:val="20"/>
          <w:lang w:val="en-US"/>
        </w:rPr>
        <w:t xml:space="preserve"> </w:t>
      </w:r>
      <w:r>
        <w:rPr>
          <w:sz w:val="20"/>
          <w:lang w:val="en-US"/>
        </w:rPr>
        <w:t>when monitoring PDCCH from CORESETs configured by RRC</w:t>
      </w:r>
    </w:p>
    <w:p w14:paraId="4230E718" w14:textId="2FA86B72" w:rsidR="00C92490" w:rsidRDefault="00C92490" w:rsidP="00C92490">
      <w:pPr>
        <w:spacing w:after="0"/>
        <w:rPr>
          <w:bCs/>
          <w:i/>
        </w:rPr>
      </w:pPr>
      <w:r w:rsidRPr="00AA5269">
        <w:rPr>
          <w:b/>
          <w:i/>
        </w:rPr>
        <w:lastRenderedPageBreak/>
        <w:t>Proposal #</w:t>
      </w:r>
      <w:r>
        <w:rPr>
          <w:b/>
          <w:i/>
        </w:rPr>
        <w:t xml:space="preserve">1: </w:t>
      </w:r>
      <w:r>
        <w:rPr>
          <w:bCs/>
          <w:i/>
        </w:rPr>
        <w:t>Reference point for DMRS sequence for NR-PDCCH is:</w:t>
      </w:r>
    </w:p>
    <w:p w14:paraId="1E7BF073" w14:textId="77777777" w:rsidR="00C92490" w:rsidRPr="00AF4145" w:rsidRDefault="00C92490" w:rsidP="00C92490">
      <w:pPr>
        <w:pStyle w:val="ListParagraph"/>
        <w:numPr>
          <w:ilvl w:val="0"/>
          <w:numId w:val="18"/>
        </w:numPr>
        <w:rPr>
          <w:i/>
          <w:sz w:val="20"/>
          <w:lang w:val="en-US"/>
        </w:rPr>
      </w:pPr>
      <w:r w:rsidRPr="00AF4145">
        <w:rPr>
          <w:i/>
          <w:sz w:val="20"/>
          <w:lang w:val="en-US"/>
        </w:rPr>
        <w:t>PRB0 of Initial BWP is used when monitoring PDCCH from CORESETs defined for RMSI, OSI and Paging</w:t>
      </w:r>
    </w:p>
    <w:p w14:paraId="13C429AC" w14:textId="77777777" w:rsidR="00C92490" w:rsidRPr="00AF4145" w:rsidRDefault="00C92490" w:rsidP="00C92490">
      <w:pPr>
        <w:pStyle w:val="ListParagraph"/>
        <w:numPr>
          <w:ilvl w:val="0"/>
          <w:numId w:val="18"/>
        </w:numPr>
        <w:rPr>
          <w:i/>
          <w:sz w:val="20"/>
          <w:lang w:val="en-US"/>
        </w:rPr>
      </w:pPr>
      <w:r w:rsidRPr="00AF4145">
        <w:rPr>
          <w:i/>
          <w:sz w:val="20"/>
          <w:lang w:val="en-US"/>
        </w:rPr>
        <w:t>PRB0 of common indexing is used when monitoring PDCCH from CORESETs configured by RRC</w:t>
      </w:r>
    </w:p>
    <w:p w14:paraId="41DBBC69" w14:textId="77777777" w:rsidR="00A2190A" w:rsidRPr="00A2190A" w:rsidRDefault="00A2190A" w:rsidP="00A2190A"/>
    <w:p w14:paraId="452A9A0C" w14:textId="198553B6" w:rsidR="000D6DCC" w:rsidRDefault="00062630" w:rsidP="00BC07A1">
      <w:pPr>
        <w:pStyle w:val="Heading1"/>
        <w:rPr>
          <w:rFonts w:eastAsia="MS Mincho"/>
          <w:lang w:val="en-US" w:eastAsia="ja-JP"/>
        </w:rPr>
      </w:pPr>
      <w:r>
        <w:rPr>
          <w:color w:val="000000"/>
        </w:rPr>
        <w:t>3</w:t>
      </w:r>
      <w:r w:rsidR="00C7542D" w:rsidRPr="00A51522">
        <w:rPr>
          <w:color w:val="000000"/>
        </w:rPr>
        <w:tab/>
      </w:r>
      <w:r w:rsidR="00BC07A1">
        <w:t>Precoder granularity</w:t>
      </w:r>
      <w:r w:rsidR="00A2190A">
        <w:t xml:space="preserve"> in time</w:t>
      </w:r>
    </w:p>
    <w:p w14:paraId="10AB6B55" w14:textId="451A4211" w:rsidR="00A2190A" w:rsidRDefault="00A2190A" w:rsidP="001C7A39">
      <w:pPr>
        <w:spacing w:after="120"/>
        <w:jc w:val="both"/>
        <w:rPr>
          <w:rFonts w:eastAsia="Times New Roman"/>
          <w:lang w:val="en-US"/>
        </w:rPr>
      </w:pPr>
      <w:r>
        <w:rPr>
          <w:rFonts w:eastAsia="Times New Roman"/>
          <w:lang w:val="en-US"/>
        </w:rPr>
        <w:t>As said,</w:t>
      </w:r>
      <w:r w:rsidR="00176E51">
        <w:rPr>
          <w:rFonts w:eastAsia="Times New Roman"/>
          <w:lang w:val="en-US"/>
        </w:rPr>
        <w:t xml:space="preserve"> precoder granularity in frequency is c</w:t>
      </w:r>
      <w:r w:rsidRPr="00A2190A">
        <w:rPr>
          <w:rFonts w:eastAsia="Times New Roman"/>
          <w:lang w:val="en-US"/>
        </w:rPr>
        <w:t>onfigurable between i) equal to the REG bundle size in the frequency domain; or ii) equal to the number of contiguous RBs in the frequency domain within the CORESET</w:t>
      </w:r>
      <w:r w:rsidR="000B36F4">
        <w:rPr>
          <w:rFonts w:eastAsia="Times New Roman"/>
          <w:lang w:val="en-US"/>
        </w:rPr>
        <w:t>.</w:t>
      </w:r>
    </w:p>
    <w:p w14:paraId="0C56E8CF" w14:textId="3C2E64D9" w:rsidR="004E708D" w:rsidRDefault="00BC07A1" w:rsidP="001C7A39">
      <w:pPr>
        <w:spacing w:after="120"/>
        <w:jc w:val="both"/>
        <w:rPr>
          <w:rFonts w:eastAsia="Times New Roman"/>
          <w:lang w:val="en-US"/>
        </w:rPr>
      </w:pPr>
      <w:r>
        <w:rPr>
          <w:rFonts w:eastAsia="Times New Roman"/>
          <w:lang w:val="en-US"/>
        </w:rPr>
        <w:t>Precoder cycling can be applied also</w:t>
      </w:r>
      <w:r w:rsidR="00655816">
        <w:rPr>
          <w:rFonts w:eastAsia="Times New Roman"/>
          <w:lang w:val="en-US"/>
        </w:rPr>
        <w:t xml:space="preserve"> in</w:t>
      </w:r>
      <w:r>
        <w:rPr>
          <w:rFonts w:eastAsia="Times New Roman"/>
          <w:lang w:val="en-US"/>
        </w:rPr>
        <w:t xml:space="preserve"> time</w:t>
      </w:r>
      <w:r w:rsidR="0006281A">
        <w:rPr>
          <w:rFonts w:eastAsia="Times New Roman"/>
          <w:lang w:val="en-US"/>
        </w:rPr>
        <w:t xml:space="preserve"> domain</w:t>
      </w:r>
      <w:r w:rsidR="00CC3837">
        <w:rPr>
          <w:rFonts w:eastAsia="Times New Roman"/>
          <w:lang w:val="en-US"/>
        </w:rPr>
        <w:t xml:space="preserve"> in the scenarios with CORESET length &gt; 1 OFDM symbol</w:t>
      </w:r>
      <w:r>
        <w:rPr>
          <w:rFonts w:eastAsia="Times New Roman"/>
          <w:lang w:val="en-US"/>
        </w:rPr>
        <w:t>.</w:t>
      </w:r>
      <w:r w:rsidRPr="00F5546A">
        <w:rPr>
          <w:rFonts w:eastAsia="Times New Roman"/>
          <w:lang w:val="en-US"/>
        </w:rPr>
        <w:t xml:space="preserve"> </w:t>
      </w:r>
      <w:r w:rsidR="000B36F4">
        <w:rPr>
          <w:rFonts w:eastAsia="Times New Roman"/>
          <w:lang w:val="en-US"/>
        </w:rPr>
        <w:t xml:space="preserve">It </w:t>
      </w:r>
      <w:r>
        <w:rPr>
          <w:rFonts w:eastAsia="Times New Roman"/>
          <w:lang w:val="en-US"/>
        </w:rPr>
        <w:t>makes sense to define that by default, precoder cycling granularity in time correspon</w:t>
      </w:r>
      <w:r w:rsidR="00204E26">
        <w:rPr>
          <w:rFonts w:eastAsia="Times New Roman"/>
          <w:lang w:val="en-US"/>
        </w:rPr>
        <w:t>d</w:t>
      </w:r>
      <w:r>
        <w:rPr>
          <w:rFonts w:eastAsia="Times New Roman"/>
          <w:lang w:val="en-US"/>
        </w:rPr>
        <w:t xml:space="preserve">s to </w:t>
      </w:r>
      <w:r w:rsidR="00205F67">
        <w:rPr>
          <w:rFonts w:eastAsia="Times New Roman"/>
          <w:lang w:val="en-US"/>
        </w:rPr>
        <w:t xml:space="preserve">the </w:t>
      </w:r>
      <w:r>
        <w:rPr>
          <w:rFonts w:eastAsia="Times New Roman"/>
          <w:lang w:val="en-US"/>
        </w:rPr>
        <w:t>duration of the REG bundle</w:t>
      </w:r>
      <w:r w:rsidR="00CC3837">
        <w:rPr>
          <w:rFonts w:eastAsia="Times New Roman"/>
          <w:lang w:val="en-US"/>
        </w:rPr>
        <w:t xml:space="preserve"> (=CORESET</w:t>
      </w:r>
      <w:r w:rsidR="00BE71F7">
        <w:rPr>
          <w:rFonts w:eastAsia="Times New Roman"/>
          <w:lang w:val="en-US"/>
        </w:rPr>
        <w:t xml:space="preserve"> length</w:t>
      </w:r>
      <w:r w:rsidR="00CC3837">
        <w:rPr>
          <w:rFonts w:eastAsia="Times New Roman"/>
          <w:lang w:val="en-US"/>
        </w:rPr>
        <w:t>)</w:t>
      </w:r>
      <w:r>
        <w:rPr>
          <w:rFonts w:eastAsia="Times New Roman"/>
          <w:lang w:val="en-US"/>
        </w:rPr>
        <w:t xml:space="preserve"> in time. </w:t>
      </w:r>
    </w:p>
    <w:p w14:paraId="3F0FC615" w14:textId="44B0BA81" w:rsidR="00B022D6" w:rsidRPr="00F42DDD" w:rsidRDefault="00B022D6" w:rsidP="00B022D6">
      <w:pPr>
        <w:spacing w:after="120"/>
        <w:jc w:val="both"/>
        <w:rPr>
          <w:bCs/>
          <w:i/>
        </w:rPr>
      </w:pPr>
      <w:r w:rsidRPr="00AA5269">
        <w:rPr>
          <w:b/>
          <w:i/>
        </w:rPr>
        <w:t>Proposal #</w:t>
      </w:r>
      <w:r w:rsidR="000B36F4">
        <w:rPr>
          <w:b/>
          <w:i/>
        </w:rPr>
        <w:t>2</w:t>
      </w:r>
      <w:r>
        <w:rPr>
          <w:b/>
          <w:i/>
        </w:rPr>
        <w:t xml:space="preserve">: </w:t>
      </w:r>
      <w:r>
        <w:rPr>
          <w:bCs/>
          <w:i/>
        </w:rPr>
        <w:t>By default, p</w:t>
      </w:r>
      <w:proofErr w:type="spellStart"/>
      <w:r>
        <w:rPr>
          <w:rFonts w:eastAsia="Times New Roman"/>
          <w:i/>
          <w:lang w:val="en-US" w:eastAsia="fi-FI"/>
        </w:rPr>
        <w:t>recoder</w:t>
      </w:r>
      <w:proofErr w:type="spellEnd"/>
      <w:r>
        <w:rPr>
          <w:rFonts w:eastAsia="Times New Roman"/>
          <w:i/>
          <w:lang w:val="en-US" w:eastAsia="fi-FI"/>
        </w:rPr>
        <w:t xml:space="preserve"> cycling granularity in time corresponds to the duration of REG bundle in time </w:t>
      </w:r>
    </w:p>
    <w:p w14:paraId="415D9AFD" w14:textId="77777777" w:rsidR="00B022D6" w:rsidRDefault="00B022D6" w:rsidP="00C5749F">
      <w:pPr>
        <w:spacing w:after="0"/>
        <w:jc w:val="both"/>
        <w:rPr>
          <w:rFonts w:eastAsia="Times New Roman"/>
          <w:lang w:val="en-US"/>
        </w:rPr>
      </w:pPr>
    </w:p>
    <w:p w14:paraId="7E8D0A48" w14:textId="0E9A71A1" w:rsidR="001C7A39" w:rsidRDefault="004E708D" w:rsidP="00C5749F">
      <w:pPr>
        <w:spacing w:after="0"/>
        <w:jc w:val="both"/>
        <w:rPr>
          <w:rFonts w:eastAsia="MS Mincho"/>
          <w:lang w:val="en-US" w:eastAsia="ja-JP"/>
        </w:rPr>
      </w:pPr>
      <w:proofErr w:type="gramStart"/>
      <w:r>
        <w:rPr>
          <w:rFonts w:eastAsia="Times New Roman"/>
          <w:lang w:val="en-US"/>
        </w:rPr>
        <w:t>I</w:t>
      </w:r>
      <w:r w:rsidR="00BC07A1">
        <w:rPr>
          <w:rFonts w:eastAsia="MS Mincho"/>
          <w:lang w:val="en-US" w:eastAsia="ja-JP"/>
        </w:rPr>
        <w:t>n order to</w:t>
      </w:r>
      <w:proofErr w:type="gramEnd"/>
      <w:r w:rsidR="00BC07A1">
        <w:rPr>
          <w:rFonts w:eastAsia="MS Mincho"/>
          <w:lang w:val="en-US" w:eastAsia="ja-JP"/>
        </w:rPr>
        <w:t xml:space="preserve"> support the necessary beam diversity </w:t>
      </w:r>
      <w:r>
        <w:rPr>
          <w:rFonts w:eastAsia="MS Mincho"/>
          <w:lang w:val="en-US" w:eastAsia="ja-JP"/>
        </w:rPr>
        <w:t xml:space="preserve">in a multi beam scenario, </w:t>
      </w:r>
      <w:r w:rsidR="00BC07A1">
        <w:rPr>
          <w:rFonts w:eastAsia="MS Mincho"/>
          <w:lang w:val="en-US" w:eastAsia="ja-JP"/>
        </w:rPr>
        <w:t xml:space="preserve">it </w:t>
      </w:r>
      <w:r w:rsidR="00B022D6">
        <w:rPr>
          <w:rFonts w:eastAsia="MS Mincho"/>
          <w:lang w:val="en-US" w:eastAsia="ja-JP"/>
        </w:rPr>
        <w:t>sh</w:t>
      </w:r>
      <w:r w:rsidR="00481E96">
        <w:rPr>
          <w:rFonts w:eastAsia="MS Mincho"/>
          <w:lang w:val="en-US" w:eastAsia="ja-JP"/>
        </w:rPr>
        <w:t>ould be beneficial to be able to</w:t>
      </w:r>
      <w:r w:rsidR="00BC07A1">
        <w:rPr>
          <w:rFonts w:eastAsia="MS Mincho"/>
          <w:lang w:val="en-US" w:eastAsia="ja-JP"/>
        </w:rPr>
        <w:t xml:space="preserve"> transmit the same DCI via multiple beams using different OFDM symbols. </w:t>
      </w:r>
      <w:r w:rsidR="001C7A39">
        <w:rPr>
          <w:rFonts w:eastAsia="MS Mincho"/>
          <w:lang w:val="en-US" w:eastAsia="ja-JP"/>
        </w:rPr>
        <w:t xml:space="preserve">Beam diversity can be achieved </w:t>
      </w:r>
      <w:r w:rsidR="00A75726">
        <w:rPr>
          <w:rFonts w:eastAsia="MS Mincho"/>
          <w:lang w:val="en-US" w:eastAsia="ja-JP"/>
        </w:rPr>
        <w:t>by setting</w:t>
      </w:r>
      <w:r w:rsidR="001C7A39">
        <w:rPr>
          <w:rFonts w:eastAsia="MS Mincho"/>
          <w:lang w:val="en-US" w:eastAsia="ja-JP"/>
        </w:rPr>
        <w:t xml:space="preserve"> precoder </w:t>
      </w:r>
      <w:r w:rsidR="00A75726">
        <w:rPr>
          <w:rFonts w:eastAsia="MS Mincho"/>
          <w:lang w:val="en-US" w:eastAsia="ja-JP"/>
        </w:rPr>
        <w:t>granularity</w:t>
      </w:r>
      <w:r w:rsidR="001C7A39">
        <w:rPr>
          <w:rFonts w:eastAsia="MS Mincho"/>
          <w:lang w:val="en-US" w:eastAsia="ja-JP"/>
        </w:rPr>
        <w:t xml:space="preserve"> in time domain to one OFDM symbol</w:t>
      </w:r>
      <w:r>
        <w:rPr>
          <w:rFonts w:eastAsia="MS Mincho"/>
          <w:lang w:val="en-US" w:eastAsia="ja-JP"/>
        </w:rPr>
        <w:t xml:space="preserve">. There are two options to make it, as shown in Figure </w:t>
      </w:r>
      <w:r w:rsidR="000B36F4">
        <w:rPr>
          <w:rFonts w:eastAsia="MS Mincho"/>
          <w:lang w:val="en-US" w:eastAsia="ja-JP"/>
        </w:rPr>
        <w:t>1</w:t>
      </w:r>
      <w:r w:rsidR="001C7A39">
        <w:rPr>
          <w:rFonts w:eastAsia="MS Mincho"/>
          <w:lang w:val="en-US" w:eastAsia="ja-JP"/>
        </w:rPr>
        <w:t>:</w:t>
      </w:r>
    </w:p>
    <w:p w14:paraId="03D06F36" w14:textId="333A69F4" w:rsidR="001C7A39" w:rsidRPr="002A2CB4" w:rsidRDefault="001C7A39" w:rsidP="001C7A39">
      <w:pPr>
        <w:pStyle w:val="ListParagraph"/>
        <w:numPr>
          <w:ilvl w:val="0"/>
          <w:numId w:val="11"/>
        </w:numPr>
        <w:spacing w:after="120"/>
        <w:jc w:val="both"/>
        <w:rPr>
          <w:b/>
          <w:color w:val="000000"/>
          <w:u w:val="single"/>
          <w:lang w:val="en-US"/>
        </w:rPr>
      </w:pPr>
      <w:r w:rsidRPr="002A2CB4">
        <w:rPr>
          <w:rFonts w:eastAsia="MS Mincho"/>
          <w:b/>
          <w:sz w:val="20"/>
          <w:lang w:val="en-US" w:eastAsia="ja-JP"/>
        </w:rPr>
        <w:t>Option 1:</w:t>
      </w:r>
      <w:r>
        <w:rPr>
          <w:rFonts w:eastAsia="MS Mincho"/>
          <w:sz w:val="20"/>
          <w:lang w:val="en-US" w:eastAsia="ja-JP"/>
        </w:rPr>
        <w:t xml:space="preserve"> time first mapping of REG-to-CCE. </w:t>
      </w:r>
      <w:r w:rsidR="00A75726">
        <w:rPr>
          <w:rFonts w:eastAsia="MS Mincho"/>
          <w:sz w:val="20"/>
          <w:lang w:val="en-US" w:eastAsia="ja-JP"/>
        </w:rPr>
        <w:t xml:space="preserve">Channel estimation is performed jointly on 3 </w:t>
      </w:r>
      <w:r w:rsidR="00F23DF5">
        <w:rPr>
          <w:rFonts w:eastAsia="MS Mincho"/>
          <w:sz w:val="20"/>
          <w:lang w:val="en-US" w:eastAsia="ja-JP"/>
        </w:rPr>
        <w:t>REG</w:t>
      </w:r>
      <w:r w:rsidR="00A75726">
        <w:rPr>
          <w:rFonts w:eastAsia="MS Mincho"/>
          <w:sz w:val="20"/>
          <w:lang w:val="en-US" w:eastAsia="ja-JP"/>
        </w:rPr>
        <w:t>s.</w:t>
      </w:r>
      <w:r>
        <w:rPr>
          <w:rFonts w:eastAsia="MS Mincho"/>
          <w:sz w:val="20"/>
          <w:lang w:val="en-US" w:eastAsia="ja-JP"/>
        </w:rPr>
        <w:t xml:space="preserve"> </w:t>
      </w:r>
    </w:p>
    <w:p w14:paraId="6E471240" w14:textId="5D104E7E" w:rsidR="001C7A39" w:rsidRDefault="001C7A39" w:rsidP="004E708D">
      <w:pPr>
        <w:pStyle w:val="ListParagraph"/>
        <w:numPr>
          <w:ilvl w:val="0"/>
          <w:numId w:val="11"/>
        </w:numPr>
        <w:spacing w:after="120"/>
        <w:jc w:val="both"/>
        <w:rPr>
          <w:rFonts w:eastAsia="MS Mincho"/>
          <w:sz w:val="20"/>
          <w:szCs w:val="20"/>
          <w:lang w:val="en-US" w:eastAsia="ja-JP"/>
        </w:rPr>
      </w:pPr>
      <w:r>
        <w:rPr>
          <w:rFonts w:eastAsia="MS Mincho"/>
          <w:b/>
          <w:sz w:val="20"/>
          <w:szCs w:val="20"/>
          <w:lang w:val="en-US" w:eastAsia="ja-JP"/>
        </w:rPr>
        <w:t xml:space="preserve">Option 2: </w:t>
      </w:r>
      <w:r>
        <w:rPr>
          <w:rFonts w:eastAsia="MS Mincho"/>
          <w:sz w:val="20"/>
          <w:szCs w:val="20"/>
          <w:lang w:val="en-US" w:eastAsia="ja-JP"/>
        </w:rPr>
        <w:t xml:space="preserve">frequency first mapping of REG-to-CCE. </w:t>
      </w:r>
      <w:r w:rsidR="00A75726">
        <w:rPr>
          <w:rFonts w:eastAsia="MS Mincho"/>
          <w:sz w:val="20"/>
          <w:szCs w:val="20"/>
          <w:lang w:val="en-US" w:eastAsia="ja-JP"/>
        </w:rPr>
        <w:t xml:space="preserve">Channel estimation is </w:t>
      </w:r>
      <w:r w:rsidR="00A75726">
        <w:rPr>
          <w:rFonts w:eastAsia="MS Mincho"/>
          <w:sz w:val="20"/>
          <w:lang w:val="en-US" w:eastAsia="ja-JP"/>
        </w:rPr>
        <w:t xml:space="preserve">performed jointly on 6 </w:t>
      </w:r>
      <w:r w:rsidR="00F23DF5">
        <w:rPr>
          <w:rFonts w:eastAsia="MS Mincho"/>
          <w:sz w:val="20"/>
          <w:lang w:val="en-US" w:eastAsia="ja-JP"/>
        </w:rPr>
        <w:t>REG</w:t>
      </w:r>
      <w:r w:rsidR="00A75726">
        <w:rPr>
          <w:rFonts w:eastAsia="MS Mincho"/>
          <w:sz w:val="20"/>
          <w:lang w:val="en-US" w:eastAsia="ja-JP"/>
        </w:rPr>
        <w:t>s</w:t>
      </w:r>
      <w:r w:rsidR="00F81835">
        <w:rPr>
          <w:rFonts w:eastAsia="MS Mincho"/>
          <w:sz w:val="20"/>
          <w:lang w:val="en-US" w:eastAsia="ja-JP"/>
        </w:rPr>
        <w:t>.</w:t>
      </w:r>
    </w:p>
    <w:p w14:paraId="5041B3D0" w14:textId="62F795C0" w:rsidR="00BC07A1" w:rsidRDefault="00BC07A1" w:rsidP="00BC07A1">
      <w:pPr>
        <w:spacing w:after="0"/>
        <w:jc w:val="both"/>
        <w:rPr>
          <w:rFonts w:eastAsia="MS Mincho"/>
          <w:lang w:val="en-US" w:eastAsia="ja-JP"/>
        </w:rPr>
      </w:pPr>
    </w:p>
    <w:p w14:paraId="4F38E561" w14:textId="5845EA3C" w:rsidR="001C7A39" w:rsidRDefault="004E708D" w:rsidP="00BC07A1">
      <w:pPr>
        <w:spacing w:after="0"/>
        <w:jc w:val="both"/>
        <w:rPr>
          <w:rFonts w:eastAsia="MS Mincho"/>
          <w:lang w:val="en-US" w:eastAsia="ja-JP"/>
        </w:rPr>
      </w:pPr>
      <w:r w:rsidRPr="00947517">
        <w:rPr>
          <w:noProof/>
          <w:lang w:val="fi-FI" w:eastAsia="fi-FI"/>
        </w:rPr>
        <w:drawing>
          <wp:inline distT="0" distB="0" distL="0" distR="0" wp14:anchorId="4F69200C" wp14:editId="7F4C0CA9">
            <wp:extent cx="6120765" cy="12236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223645"/>
                    </a:xfrm>
                    <a:prstGeom prst="rect">
                      <a:avLst/>
                    </a:prstGeom>
                    <a:noFill/>
                    <a:ln>
                      <a:noFill/>
                    </a:ln>
                  </pic:spPr>
                </pic:pic>
              </a:graphicData>
            </a:graphic>
          </wp:inline>
        </w:drawing>
      </w:r>
    </w:p>
    <w:p w14:paraId="328B350D" w14:textId="48A206A0" w:rsidR="004E708D" w:rsidRDefault="00B72A91" w:rsidP="004E708D">
      <w:pPr>
        <w:pStyle w:val="Caption"/>
        <w:jc w:val="center"/>
      </w:pPr>
      <w:r>
        <w:t xml:space="preserve">Figure </w:t>
      </w:r>
      <w:r>
        <w:fldChar w:fldCharType="begin"/>
      </w:r>
      <w:r>
        <w:instrText xml:space="preserve"> SEQ Figure \* ARABIC </w:instrText>
      </w:r>
      <w:r>
        <w:fldChar w:fldCharType="separate"/>
      </w:r>
      <w:r w:rsidR="000B36F4">
        <w:rPr>
          <w:noProof/>
        </w:rPr>
        <w:t>1</w:t>
      </w:r>
      <w:r>
        <w:fldChar w:fldCharType="end"/>
      </w:r>
      <w:r w:rsidR="004E708D">
        <w:t>. Two principles for achieving beam diversity in the case of CORESET with two OFDM symbols.</w:t>
      </w:r>
    </w:p>
    <w:p w14:paraId="067CDDB2" w14:textId="7F51A47E" w:rsidR="00B022D6" w:rsidRDefault="00B022D6" w:rsidP="00B022D6"/>
    <w:p w14:paraId="47A048EB" w14:textId="2501CC96" w:rsidR="00B022D6" w:rsidRDefault="00B022D6" w:rsidP="00B022D6">
      <w:pPr>
        <w:spacing w:after="120"/>
        <w:jc w:val="both"/>
        <w:rPr>
          <w:rFonts w:eastAsia="MS Mincho"/>
          <w:lang w:val="en-US" w:eastAsia="ja-JP"/>
        </w:rPr>
      </w:pPr>
      <w:r w:rsidRPr="00B022D6">
        <w:rPr>
          <w:lang w:val="en-US"/>
        </w:rPr>
        <w:t xml:space="preserve">When comparing these options, it can be noted that </w:t>
      </w:r>
      <w:r>
        <w:rPr>
          <w:rFonts w:eastAsia="MS Mincho"/>
          <w:lang w:val="en-US" w:eastAsia="ja-JP"/>
        </w:rPr>
        <w:t xml:space="preserve">with Option 1, beam diversity is available within each REG bundle and within each aggregation level. In the case of Option 2, beam diversity is available only with the highest aggregation levels. Furthermore, Option 1 </w:t>
      </w:r>
      <w:proofErr w:type="gramStart"/>
      <w:r>
        <w:rPr>
          <w:rFonts w:eastAsia="MS Mincho"/>
          <w:lang w:val="en-US" w:eastAsia="ja-JP"/>
        </w:rPr>
        <w:t>can be seen as</w:t>
      </w:r>
      <w:proofErr w:type="gramEnd"/>
      <w:r>
        <w:rPr>
          <w:rFonts w:eastAsia="MS Mincho"/>
          <w:lang w:val="en-US" w:eastAsia="ja-JP"/>
        </w:rPr>
        <w:t xml:space="preserve"> </w:t>
      </w:r>
      <w:r w:rsidR="00FA3230">
        <w:rPr>
          <w:rFonts w:eastAsia="MS Mincho"/>
          <w:lang w:val="en-US" w:eastAsia="ja-JP"/>
        </w:rPr>
        <w:t>a</w:t>
      </w:r>
      <w:r>
        <w:rPr>
          <w:rFonts w:eastAsia="MS Mincho"/>
          <w:lang w:val="en-US" w:eastAsia="ja-JP"/>
        </w:rPr>
        <w:t xml:space="preserve"> simpler approach from standardization point of view since it can be done </w:t>
      </w:r>
      <w:r w:rsidR="000215BE">
        <w:rPr>
          <w:rFonts w:eastAsia="MS Mincho"/>
          <w:lang w:val="en-US" w:eastAsia="ja-JP"/>
        </w:rPr>
        <w:t xml:space="preserve">using </w:t>
      </w:r>
      <w:r w:rsidR="00FA3230">
        <w:rPr>
          <w:rFonts w:eastAsia="MS Mincho"/>
          <w:lang w:val="en-US" w:eastAsia="ja-JP"/>
        </w:rPr>
        <w:t xml:space="preserve">the </w:t>
      </w:r>
      <w:r w:rsidR="00A52906">
        <w:rPr>
          <w:rFonts w:eastAsia="MS Mincho"/>
          <w:lang w:val="en-US" w:eastAsia="ja-JP"/>
        </w:rPr>
        <w:t xml:space="preserve">current </w:t>
      </w:r>
      <w:proofErr w:type="spellStart"/>
      <w:r w:rsidR="000215BE">
        <w:rPr>
          <w:rFonts w:eastAsia="MS Mincho"/>
          <w:lang w:val="en-US" w:eastAsia="ja-JP"/>
        </w:rPr>
        <w:t>interleaver</w:t>
      </w:r>
      <w:proofErr w:type="spellEnd"/>
      <w:r>
        <w:rPr>
          <w:rFonts w:eastAsia="MS Mincho"/>
          <w:lang w:val="en-US" w:eastAsia="ja-JP"/>
        </w:rPr>
        <w:t xml:space="preserve"> defined for </w:t>
      </w:r>
      <w:r w:rsidR="000215BE">
        <w:rPr>
          <w:rFonts w:eastAsia="MS Mincho"/>
          <w:lang w:val="en-US" w:eastAsia="ja-JP"/>
        </w:rPr>
        <w:t xml:space="preserve">a </w:t>
      </w:r>
      <w:r>
        <w:rPr>
          <w:rFonts w:eastAsia="MS Mincho"/>
          <w:lang w:val="en-US" w:eastAsia="ja-JP"/>
        </w:rPr>
        <w:t>multi-symbol CORESET</w:t>
      </w:r>
      <w:r w:rsidR="00655816">
        <w:rPr>
          <w:rFonts w:eastAsia="MS Mincho"/>
          <w:lang w:val="en-US" w:eastAsia="ja-JP"/>
        </w:rPr>
        <w:t xml:space="preserve">. Furthermore, </w:t>
      </w:r>
      <w:r w:rsidR="00A52906">
        <w:rPr>
          <w:rFonts w:eastAsia="MS Mincho"/>
          <w:lang w:val="en-US" w:eastAsia="ja-JP"/>
        </w:rPr>
        <w:t xml:space="preserve">when configuring REG bundle size 6 the </w:t>
      </w:r>
      <w:r w:rsidR="00655816">
        <w:rPr>
          <w:rFonts w:eastAsia="MS Mincho"/>
          <w:lang w:val="en-US" w:eastAsia="ja-JP"/>
        </w:rPr>
        <w:t xml:space="preserve">channel estimation can be performed over </w:t>
      </w:r>
      <w:r w:rsidR="00A52906">
        <w:rPr>
          <w:rFonts w:eastAsia="MS Mincho"/>
          <w:lang w:val="en-US" w:eastAsia="ja-JP"/>
        </w:rPr>
        <w:t>3</w:t>
      </w:r>
      <w:r w:rsidR="00655816">
        <w:rPr>
          <w:rFonts w:eastAsia="MS Mincho"/>
          <w:lang w:val="en-US" w:eastAsia="ja-JP"/>
        </w:rPr>
        <w:t xml:space="preserve"> RBs</w:t>
      </w:r>
      <w:r w:rsidR="00A52906">
        <w:rPr>
          <w:rFonts w:eastAsia="MS Mincho"/>
          <w:lang w:val="en-US" w:eastAsia="ja-JP"/>
        </w:rPr>
        <w:t xml:space="preserve"> (2-symbol CORESET), or 2 RBs (3-symbol CORESET)</w:t>
      </w:r>
      <w:r>
        <w:rPr>
          <w:rFonts w:eastAsia="MS Mincho"/>
          <w:lang w:val="en-US" w:eastAsia="ja-JP"/>
        </w:rPr>
        <w:t xml:space="preserve">. </w:t>
      </w:r>
      <w:r w:rsidR="00A52906">
        <w:rPr>
          <w:rFonts w:eastAsia="MS Mincho"/>
          <w:lang w:val="en-US" w:eastAsia="ja-JP"/>
        </w:rPr>
        <w:t xml:space="preserve">This </w:t>
      </w:r>
      <w:proofErr w:type="gramStart"/>
      <w:r w:rsidR="00A52906">
        <w:rPr>
          <w:rFonts w:eastAsia="MS Mincho"/>
          <w:lang w:val="en-US" w:eastAsia="ja-JP"/>
        </w:rPr>
        <w:t>can  be</w:t>
      </w:r>
      <w:proofErr w:type="gramEnd"/>
      <w:r w:rsidR="00A52906">
        <w:rPr>
          <w:rFonts w:eastAsia="MS Mincho"/>
          <w:lang w:val="en-US" w:eastAsia="ja-JP"/>
        </w:rPr>
        <w:t xml:space="preserve"> seen as sufficient for the beam diversity scenario. </w:t>
      </w:r>
      <w:r>
        <w:rPr>
          <w:rFonts w:eastAsia="MS Mincho"/>
          <w:lang w:val="en-US" w:eastAsia="ja-JP"/>
        </w:rPr>
        <w:t xml:space="preserve">Based on </w:t>
      </w:r>
      <w:r w:rsidR="00A52906">
        <w:rPr>
          <w:rFonts w:eastAsia="MS Mincho"/>
          <w:lang w:val="en-US" w:eastAsia="ja-JP"/>
        </w:rPr>
        <w:t>the discussion,</w:t>
      </w:r>
      <w:r>
        <w:rPr>
          <w:rFonts w:eastAsia="MS Mincho"/>
          <w:lang w:val="en-US" w:eastAsia="ja-JP"/>
        </w:rPr>
        <w:t xml:space="preserve"> we make the following proposal:</w:t>
      </w:r>
    </w:p>
    <w:p w14:paraId="7233A0E1" w14:textId="0D42E362" w:rsidR="00B44666" w:rsidRDefault="00B022D6" w:rsidP="00A52906">
      <w:pPr>
        <w:spacing w:after="120"/>
        <w:jc w:val="both"/>
        <w:rPr>
          <w:rFonts w:eastAsia="MS Mincho"/>
          <w:lang w:eastAsia="ja-JP"/>
        </w:rPr>
      </w:pPr>
      <w:r w:rsidRPr="00AA5269">
        <w:rPr>
          <w:b/>
          <w:i/>
        </w:rPr>
        <w:t>Proposal #</w:t>
      </w:r>
      <w:r w:rsidR="000B36F4">
        <w:rPr>
          <w:b/>
          <w:i/>
        </w:rPr>
        <w:t>3</w:t>
      </w:r>
      <w:r>
        <w:rPr>
          <w:b/>
          <w:i/>
        </w:rPr>
        <w:t xml:space="preserve">: </w:t>
      </w:r>
      <w:r>
        <w:rPr>
          <w:bCs/>
          <w:i/>
        </w:rPr>
        <w:t>Support precoder cycling granularity of one OFDM symbol as a configuration option for CORESETs with multiple OFDM symbols.</w:t>
      </w:r>
    </w:p>
    <w:p w14:paraId="0D827FAF" w14:textId="3C8E1EA4" w:rsidR="0034111C" w:rsidRPr="00A51522" w:rsidRDefault="000B36F4">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626917E1" w14:textId="72C90EC2" w:rsidR="00731B79" w:rsidRPr="00F81835" w:rsidRDefault="003D3FBA" w:rsidP="006060C2">
      <w:pPr>
        <w:spacing w:after="120"/>
        <w:jc w:val="both"/>
        <w:rPr>
          <w:bCs/>
          <w:lang w:val="en-US"/>
        </w:rPr>
      </w:pPr>
      <w:r w:rsidRPr="00F81835">
        <w:rPr>
          <w:lang w:val="en-US"/>
        </w:rPr>
        <w:t>In this contribution</w:t>
      </w:r>
      <w:r w:rsidR="00F81835" w:rsidRPr="00F81835">
        <w:rPr>
          <w:lang w:val="en-US"/>
        </w:rPr>
        <w:t>,</w:t>
      </w:r>
      <w:r w:rsidRPr="00F81835">
        <w:rPr>
          <w:lang w:val="en-US"/>
        </w:rPr>
        <w:t xml:space="preserve"> we have discussed </w:t>
      </w:r>
      <w:r w:rsidR="00342AD2" w:rsidRPr="00F81835">
        <w:rPr>
          <w:bCs/>
          <w:lang w:val="en-US"/>
        </w:rPr>
        <w:t xml:space="preserve">the </w:t>
      </w:r>
      <w:r w:rsidR="00B67939" w:rsidRPr="00F81835">
        <w:rPr>
          <w:bCs/>
          <w:lang w:val="en-US"/>
        </w:rPr>
        <w:t xml:space="preserve">remaining details of PDCCH </w:t>
      </w:r>
      <w:r w:rsidR="00627717" w:rsidRPr="00F81835">
        <w:rPr>
          <w:bCs/>
          <w:lang w:val="en-US"/>
        </w:rPr>
        <w:t>structure</w:t>
      </w:r>
      <w:r w:rsidR="00B67939" w:rsidRPr="00F81835">
        <w:rPr>
          <w:bCs/>
          <w:lang w:val="en-US"/>
        </w:rPr>
        <w:t xml:space="preserve"> for NR</w:t>
      </w:r>
      <w:r w:rsidR="006060C2" w:rsidRPr="00F81835">
        <w:rPr>
          <w:bCs/>
          <w:lang w:val="en-US"/>
        </w:rPr>
        <w:t>.</w:t>
      </w:r>
      <w:r w:rsidR="00342AD2" w:rsidRPr="00F81835">
        <w:rPr>
          <w:bCs/>
          <w:lang w:val="en-US"/>
        </w:rPr>
        <w:t xml:space="preserve"> Based on the discussion, we make the following proposal</w:t>
      </w:r>
      <w:r w:rsidR="006060C2" w:rsidRPr="00F81835">
        <w:rPr>
          <w:bCs/>
          <w:lang w:val="en-US"/>
        </w:rPr>
        <w:t>s</w:t>
      </w:r>
      <w:r w:rsidR="00342AD2" w:rsidRPr="00F81835">
        <w:rPr>
          <w:bCs/>
          <w:lang w:val="en-US"/>
        </w:rPr>
        <w:t>:</w:t>
      </w:r>
    </w:p>
    <w:p w14:paraId="0E45D52B" w14:textId="77777777" w:rsidR="00C92490" w:rsidRDefault="00C92490" w:rsidP="00C92490">
      <w:pPr>
        <w:spacing w:after="0"/>
        <w:rPr>
          <w:bCs/>
          <w:i/>
        </w:rPr>
      </w:pPr>
      <w:r w:rsidRPr="00AA5269">
        <w:rPr>
          <w:b/>
          <w:i/>
        </w:rPr>
        <w:t>Proposal #</w:t>
      </w:r>
      <w:r>
        <w:rPr>
          <w:b/>
          <w:i/>
        </w:rPr>
        <w:t xml:space="preserve">1: </w:t>
      </w:r>
      <w:r>
        <w:rPr>
          <w:bCs/>
          <w:i/>
        </w:rPr>
        <w:t>Reference point for DMRS sequence for NR-PDCCH is:</w:t>
      </w:r>
    </w:p>
    <w:p w14:paraId="280F92FC" w14:textId="77777777" w:rsidR="00C92490" w:rsidRPr="00F23DF5" w:rsidRDefault="00C92490" w:rsidP="00C92490">
      <w:pPr>
        <w:pStyle w:val="ListParagraph"/>
        <w:numPr>
          <w:ilvl w:val="0"/>
          <w:numId w:val="18"/>
        </w:numPr>
        <w:rPr>
          <w:i/>
          <w:sz w:val="20"/>
          <w:lang w:val="en-US"/>
        </w:rPr>
      </w:pPr>
      <w:r w:rsidRPr="00F23DF5">
        <w:rPr>
          <w:i/>
          <w:sz w:val="20"/>
          <w:lang w:val="en-US"/>
        </w:rPr>
        <w:t>PRB0 of Initial BWP is used when monitoring PDCCH from CORESETs defined for RMSI, OSI and Paging</w:t>
      </w:r>
    </w:p>
    <w:p w14:paraId="7886A882" w14:textId="77777777" w:rsidR="00C92490" w:rsidRPr="00F23DF5" w:rsidRDefault="00C92490" w:rsidP="00C92490">
      <w:pPr>
        <w:pStyle w:val="ListParagraph"/>
        <w:numPr>
          <w:ilvl w:val="0"/>
          <w:numId w:val="18"/>
        </w:numPr>
        <w:rPr>
          <w:i/>
          <w:sz w:val="20"/>
          <w:lang w:val="en-US"/>
        </w:rPr>
      </w:pPr>
      <w:r w:rsidRPr="00F23DF5">
        <w:rPr>
          <w:i/>
          <w:sz w:val="20"/>
          <w:lang w:val="en-US"/>
        </w:rPr>
        <w:t>PRB0 of common indexing is used when monitoring PDCCH from CORESETs configured by RRC</w:t>
      </w:r>
    </w:p>
    <w:p w14:paraId="291F450A" w14:textId="77777777" w:rsidR="00C92490" w:rsidRDefault="00C92490" w:rsidP="000B36F4">
      <w:pPr>
        <w:spacing w:after="120"/>
        <w:jc w:val="both"/>
        <w:rPr>
          <w:b/>
          <w:i/>
        </w:rPr>
      </w:pPr>
    </w:p>
    <w:p w14:paraId="25F2D33B" w14:textId="60FB70B2" w:rsidR="000B36F4" w:rsidRPr="00F42DDD" w:rsidRDefault="000B36F4" w:rsidP="000B36F4">
      <w:pPr>
        <w:spacing w:after="120"/>
        <w:jc w:val="both"/>
        <w:rPr>
          <w:bCs/>
          <w:i/>
        </w:rPr>
      </w:pPr>
      <w:r w:rsidRPr="00AA5269">
        <w:rPr>
          <w:b/>
          <w:i/>
        </w:rPr>
        <w:t>Proposal #</w:t>
      </w:r>
      <w:r>
        <w:rPr>
          <w:b/>
          <w:i/>
        </w:rPr>
        <w:t xml:space="preserve">2: </w:t>
      </w:r>
      <w:r>
        <w:rPr>
          <w:bCs/>
          <w:i/>
        </w:rPr>
        <w:t>By default, p</w:t>
      </w:r>
      <w:proofErr w:type="spellStart"/>
      <w:r>
        <w:rPr>
          <w:rFonts w:eastAsia="Times New Roman"/>
          <w:i/>
          <w:lang w:val="en-US" w:eastAsia="fi-FI"/>
        </w:rPr>
        <w:t>recoder</w:t>
      </w:r>
      <w:proofErr w:type="spellEnd"/>
      <w:r>
        <w:rPr>
          <w:rFonts w:eastAsia="Times New Roman"/>
          <w:i/>
          <w:lang w:val="en-US" w:eastAsia="fi-FI"/>
        </w:rPr>
        <w:t xml:space="preserve"> cycling granularity in time corresponds to the duration of REG bundle in time </w:t>
      </w:r>
    </w:p>
    <w:p w14:paraId="393F654C" w14:textId="77777777" w:rsidR="000B36F4" w:rsidRDefault="000B36F4" w:rsidP="000B36F4">
      <w:pPr>
        <w:spacing w:after="120"/>
        <w:jc w:val="both"/>
        <w:rPr>
          <w:bCs/>
          <w:i/>
        </w:rPr>
      </w:pPr>
      <w:r w:rsidRPr="00AA5269">
        <w:rPr>
          <w:b/>
          <w:i/>
        </w:rPr>
        <w:t>Proposal #</w:t>
      </w:r>
      <w:r>
        <w:rPr>
          <w:b/>
          <w:i/>
        </w:rPr>
        <w:t xml:space="preserve">3: </w:t>
      </w:r>
      <w:r>
        <w:rPr>
          <w:bCs/>
          <w:i/>
        </w:rPr>
        <w:t>Support precoder cycling granularity of one OFDM symbol as a configuration option for CORESETs with multiple OFDM symbols.</w:t>
      </w:r>
    </w:p>
    <w:p w14:paraId="40773BD6" w14:textId="77777777" w:rsidR="000B36F4" w:rsidRPr="00724DF5" w:rsidRDefault="000B36F4" w:rsidP="00A2190A">
      <w:pPr>
        <w:spacing w:after="120"/>
        <w:jc w:val="both"/>
        <w:rPr>
          <w:bCs/>
          <w:i/>
        </w:rPr>
      </w:pPr>
    </w:p>
    <w:p w14:paraId="2F0729C1" w14:textId="4F54E886" w:rsidR="0034111C" w:rsidRPr="00A51522" w:rsidRDefault="007825F0" w:rsidP="007825F0">
      <w:pPr>
        <w:pStyle w:val="Heading1"/>
      </w:pPr>
      <w:r w:rsidRPr="00A51522">
        <w:lastRenderedPageBreak/>
        <w:t xml:space="preserve"> </w:t>
      </w:r>
      <w:r w:rsidR="0034111C"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774CE11" w14:textId="77777777" w:rsidR="009178BD"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12EAAD7D" w14:textId="6BAEA22D" w:rsidR="004A64F6" w:rsidRDefault="004A64F6" w:rsidP="004A64F6">
      <w:pPr>
        <w:numPr>
          <w:ilvl w:val="0"/>
          <w:numId w:val="1"/>
        </w:numPr>
        <w:rPr>
          <w:sz w:val="18"/>
        </w:rPr>
      </w:pPr>
      <w:r w:rsidRPr="004C3EC7">
        <w:rPr>
          <w:sz w:val="18"/>
        </w:rPr>
        <w:t>RAN1 Chairman’s Notes, 3GPP TSG RAN WG1 Meeting #</w:t>
      </w:r>
      <w:r w:rsidR="00BE19DC">
        <w:rPr>
          <w:sz w:val="18"/>
        </w:rPr>
        <w:t>90</w:t>
      </w:r>
      <w:r w:rsidR="00A2190A">
        <w:rPr>
          <w:sz w:val="18"/>
        </w:rPr>
        <w:t>bis</w:t>
      </w:r>
      <w:r w:rsidRPr="004C3EC7">
        <w:rPr>
          <w:sz w:val="18"/>
        </w:rPr>
        <w:t>, 3</w:t>
      </w:r>
      <w:r>
        <w:rPr>
          <w:sz w:val="18"/>
        </w:rPr>
        <w:t>GP</w:t>
      </w:r>
      <w:r w:rsidRPr="004C3EC7">
        <w:rPr>
          <w:sz w:val="18"/>
        </w:rPr>
        <w:t>P</w:t>
      </w:r>
    </w:p>
    <w:p w14:paraId="288354F3" w14:textId="127F9CE0" w:rsidR="00205F67" w:rsidRPr="00066EE0" w:rsidRDefault="00205F67" w:rsidP="00A2190A">
      <w:pPr>
        <w:pStyle w:val="references"/>
        <w:numPr>
          <w:ilvl w:val="0"/>
          <w:numId w:val="0"/>
        </w:numPr>
        <w:autoSpaceDE w:val="0"/>
        <w:autoSpaceDN w:val="0"/>
        <w:adjustRightInd w:val="0"/>
        <w:ind w:left="357"/>
        <w:rPr>
          <w:sz w:val="18"/>
          <w:szCs w:val="18"/>
        </w:rPr>
      </w:pPr>
    </w:p>
    <w:sectPr w:rsidR="00205F67" w:rsidRPr="00066EE0" w:rsidSect="000131D1">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C7CF7" w14:textId="77777777" w:rsidR="005A3BD7" w:rsidRDefault="005A3BD7">
      <w:r>
        <w:separator/>
      </w:r>
    </w:p>
  </w:endnote>
  <w:endnote w:type="continuationSeparator" w:id="0">
    <w:p w14:paraId="02406327" w14:textId="77777777" w:rsidR="005A3BD7" w:rsidRDefault="005A3BD7">
      <w:r>
        <w:continuationSeparator/>
      </w:r>
    </w:p>
  </w:endnote>
  <w:endnote w:type="continuationNotice" w:id="1">
    <w:p w14:paraId="5BA1ABB1" w14:textId="77777777" w:rsidR="005A3BD7" w:rsidRDefault="005A3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FB4407" w:rsidRDefault="00FB4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851ED" w14:textId="77777777" w:rsidR="005A3BD7" w:rsidRDefault="005A3BD7">
      <w:r>
        <w:separator/>
      </w:r>
    </w:p>
  </w:footnote>
  <w:footnote w:type="continuationSeparator" w:id="0">
    <w:p w14:paraId="110078AF" w14:textId="77777777" w:rsidR="005A3BD7" w:rsidRDefault="005A3BD7">
      <w:r>
        <w:continuationSeparator/>
      </w:r>
    </w:p>
  </w:footnote>
  <w:footnote w:type="continuationNotice" w:id="1">
    <w:p w14:paraId="7B1D40F5" w14:textId="77777777" w:rsidR="005A3BD7" w:rsidRDefault="005A3B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FB4407" w:rsidRDefault="00FB4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12"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2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
  </w:num>
  <w:num w:numId="4">
    <w:abstractNumId w:val="19"/>
  </w:num>
  <w:num w:numId="5">
    <w:abstractNumId w:val="9"/>
  </w:num>
  <w:num w:numId="6">
    <w:abstractNumId w:val="23"/>
  </w:num>
  <w:num w:numId="7">
    <w:abstractNumId w:val="0"/>
  </w:num>
  <w:num w:numId="8">
    <w:abstractNumId w:val="11"/>
  </w:num>
  <w:num w:numId="9">
    <w:abstractNumId w:val="14"/>
  </w:num>
  <w:num w:numId="10">
    <w:abstractNumId w:val="2"/>
  </w:num>
  <w:num w:numId="11">
    <w:abstractNumId w:val="12"/>
  </w:num>
  <w:num w:numId="12">
    <w:abstractNumId w:val="7"/>
  </w:num>
  <w:num w:numId="13">
    <w:abstractNumId w:val="8"/>
  </w:num>
  <w:num w:numId="14">
    <w:abstractNumId w:val="15"/>
  </w:num>
  <w:num w:numId="15">
    <w:abstractNumId w:val="4"/>
  </w:num>
  <w:num w:numId="16">
    <w:abstractNumId w:val="3"/>
  </w:num>
  <w:num w:numId="17">
    <w:abstractNumId w:val="17"/>
  </w:num>
  <w:num w:numId="18">
    <w:abstractNumId w:val="21"/>
  </w:num>
  <w:num w:numId="19">
    <w:abstractNumId w:val="13"/>
  </w:num>
  <w:num w:numId="20">
    <w:abstractNumId w:val="18"/>
  </w:num>
  <w:num w:numId="21">
    <w:abstractNumId w:val="16"/>
  </w:num>
  <w:num w:numId="22">
    <w:abstractNumId w:val="6"/>
  </w:num>
  <w:num w:numId="23">
    <w:abstractNumId w:val="22"/>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A9"/>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5BE"/>
    <w:rsid w:val="00021662"/>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D9D"/>
    <w:rsid w:val="00055676"/>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FDA"/>
    <w:rsid w:val="00076386"/>
    <w:rsid w:val="00076D82"/>
    <w:rsid w:val="00080284"/>
    <w:rsid w:val="00081EC2"/>
    <w:rsid w:val="000823FE"/>
    <w:rsid w:val="000825E2"/>
    <w:rsid w:val="00082B41"/>
    <w:rsid w:val="00083800"/>
    <w:rsid w:val="00084A65"/>
    <w:rsid w:val="00085090"/>
    <w:rsid w:val="00091A92"/>
    <w:rsid w:val="00093C49"/>
    <w:rsid w:val="00095A80"/>
    <w:rsid w:val="000973C8"/>
    <w:rsid w:val="000973E1"/>
    <w:rsid w:val="000A1402"/>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595"/>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5464"/>
    <w:rsid w:val="00155BFD"/>
    <w:rsid w:val="00157390"/>
    <w:rsid w:val="00160998"/>
    <w:rsid w:val="00160CD6"/>
    <w:rsid w:val="0016316A"/>
    <w:rsid w:val="00164171"/>
    <w:rsid w:val="00164E58"/>
    <w:rsid w:val="00165033"/>
    <w:rsid w:val="00165B18"/>
    <w:rsid w:val="00166F7B"/>
    <w:rsid w:val="001670EA"/>
    <w:rsid w:val="001674A0"/>
    <w:rsid w:val="00170A50"/>
    <w:rsid w:val="0017157A"/>
    <w:rsid w:val="00171F0C"/>
    <w:rsid w:val="00174FFD"/>
    <w:rsid w:val="001759CA"/>
    <w:rsid w:val="00176E51"/>
    <w:rsid w:val="0017726A"/>
    <w:rsid w:val="00177B88"/>
    <w:rsid w:val="00177DD3"/>
    <w:rsid w:val="00180278"/>
    <w:rsid w:val="001818A7"/>
    <w:rsid w:val="00182725"/>
    <w:rsid w:val="001829C8"/>
    <w:rsid w:val="00182CA0"/>
    <w:rsid w:val="00183FB0"/>
    <w:rsid w:val="00184098"/>
    <w:rsid w:val="00185D8A"/>
    <w:rsid w:val="00186904"/>
    <w:rsid w:val="00186B0A"/>
    <w:rsid w:val="001905BD"/>
    <w:rsid w:val="001925BD"/>
    <w:rsid w:val="00192FE6"/>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226F"/>
    <w:rsid w:val="001C4130"/>
    <w:rsid w:val="001C52F3"/>
    <w:rsid w:val="001C66AC"/>
    <w:rsid w:val="001C6754"/>
    <w:rsid w:val="001C6EF6"/>
    <w:rsid w:val="001C77F0"/>
    <w:rsid w:val="001C7A39"/>
    <w:rsid w:val="001D1B8A"/>
    <w:rsid w:val="001D2304"/>
    <w:rsid w:val="001D2B7D"/>
    <w:rsid w:val="001D454D"/>
    <w:rsid w:val="001D46A0"/>
    <w:rsid w:val="001D4E22"/>
    <w:rsid w:val="001D5FB0"/>
    <w:rsid w:val="001D7CA4"/>
    <w:rsid w:val="001D7E58"/>
    <w:rsid w:val="001E1791"/>
    <w:rsid w:val="001E2248"/>
    <w:rsid w:val="001E30A0"/>
    <w:rsid w:val="001E3F75"/>
    <w:rsid w:val="001E4D4F"/>
    <w:rsid w:val="001E57CF"/>
    <w:rsid w:val="001E5981"/>
    <w:rsid w:val="001E74BA"/>
    <w:rsid w:val="001E7B9F"/>
    <w:rsid w:val="001F01FB"/>
    <w:rsid w:val="001F0658"/>
    <w:rsid w:val="001F0E92"/>
    <w:rsid w:val="001F1306"/>
    <w:rsid w:val="001F1987"/>
    <w:rsid w:val="001F23BD"/>
    <w:rsid w:val="001F34DA"/>
    <w:rsid w:val="001F4DAC"/>
    <w:rsid w:val="001F5019"/>
    <w:rsid w:val="001F53CA"/>
    <w:rsid w:val="001F650F"/>
    <w:rsid w:val="001F67AA"/>
    <w:rsid w:val="001F7599"/>
    <w:rsid w:val="00204B3A"/>
    <w:rsid w:val="00204E26"/>
    <w:rsid w:val="0020535A"/>
    <w:rsid w:val="00205F67"/>
    <w:rsid w:val="00206955"/>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D9C"/>
    <w:rsid w:val="002B132E"/>
    <w:rsid w:val="002B2813"/>
    <w:rsid w:val="002B2D29"/>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74C"/>
    <w:rsid w:val="00352D21"/>
    <w:rsid w:val="0035443D"/>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B63"/>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7AB6"/>
    <w:rsid w:val="00397ACA"/>
    <w:rsid w:val="003A10C3"/>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C41"/>
    <w:rsid w:val="003C7461"/>
    <w:rsid w:val="003D0788"/>
    <w:rsid w:val="003D132A"/>
    <w:rsid w:val="003D1517"/>
    <w:rsid w:val="003D2938"/>
    <w:rsid w:val="003D2C75"/>
    <w:rsid w:val="003D3FBA"/>
    <w:rsid w:val="003D402B"/>
    <w:rsid w:val="003D4444"/>
    <w:rsid w:val="003D764F"/>
    <w:rsid w:val="003D7D81"/>
    <w:rsid w:val="003E0667"/>
    <w:rsid w:val="003E0BCE"/>
    <w:rsid w:val="003E13E0"/>
    <w:rsid w:val="003E1660"/>
    <w:rsid w:val="003E1CD1"/>
    <w:rsid w:val="003E2A2D"/>
    <w:rsid w:val="003E2EEE"/>
    <w:rsid w:val="003E521F"/>
    <w:rsid w:val="003E64A9"/>
    <w:rsid w:val="003E7002"/>
    <w:rsid w:val="003E7905"/>
    <w:rsid w:val="003F0336"/>
    <w:rsid w:val="003F2147"/>
    <w:rsid w:val="003F4488"/>
    <w:rsid w:val="003F5547"/>
    <w:rsid w:val="003F5C40"/>
    <w:rsid w:val="003F6E12"/>
    <w:rsid w:val="003F75ED"/>
    <w:rsid w:val="004002B7"/>
    <w:rsid w:val="00400F31"/>
    <w:rsid w:val="004012AE"/>
    <w:rsid w:val="00402295"/>
    <w:rsid w:val="00406B4D"/>
    <w:rsid w:val="0041443C"/>
    <w:rsid w:val="004154F7"/>
    <w:rsid w:val="00416D44"/>
    <w:rsid w:val="004176FF"/>
    <w:rsid w:val="00421A27"/>
    <w:rsid w:val="00421D0A"/>
    <w:rsid w:val="004221AD"/>
    <w:rsid w:val="004241C5"/>
    <w:rsid w:val="00424FA7"/>
    <w:rsid w:val="00426A87"/>
    <w:rsid w:val="004309D8"/>
    <w:rsid w:val="004313D1"/>
    <w:rsid w:val="00431FD5"/>
    <w:rsid w:val="00432110"/>
    <w:rsid w:val="00433EBE"/>
    <w:rsid w:val="00434406"/>
    <w:rsid w:val="0043751F"/>
    <w:rsid w:val="00440FED"/>
    <w:rsid w:val="00441194"/>
    <w:rsid w:val="00441B0A"/>
    <w:rsid w:val="00441B92"/>
    <w:rsid w:val="00442607"/>
    <w:rsid w:val="0044474B"/>
    <w:rsid w:val="00445FF7"/>
    <w:rsid w:val="00453341"/>
    <w:rsid w:val="004545C6"/>
    <w:rsid w:val="00454DCA"/>
    <w:rsid w:val="00455B17"/>
    <w:rsid w:val="004561C0"/>
    <w:rsid w:val="00456544"/>
    <w:rsid w:val="00456649"/>
    <w:rsid w:val="004567B7"/>
    <w:rsid w:val="00456856"/>
    <w:rsid w:val="00457810"/>
    <w:rsid w:val="00460839"/>
    <w:rsid w:val="00461210"/>
    <w:rsid w:val="00462490"/>
    <w:rsid w:val="00462A0A"/>
    <w:rsid w:val="00463F47"/>
    <w:rsid w:val="00465299"/>
    <w:rsid w:val="00466A0F"/>
    <w:rsid w:val="0046795B"/>
    <w:rsid w:val="004708C0"/>
    <w:rsid w:val="004715CB"/>
    <w:rsid w:val="00471863"/>
    <w:rsid w:val="00472233"/>
    <w:rsid w:val="00473353"/>
    <w:rsid w:val="00473A14"/>
    <w:rsid w:val="00474CA8"/>
    <w:rsid w:val="00474E43"/>
    <w:rsid w:val="00475A4A"/>
    <w:rsid w:val="0048076D"/>
    <w:rsid w:val="00481C24"/>
    <w:rsid w:val="00481D90"/>
    <w:rsid w:val="00481E96"/>
    <w:rsid w:val="00482CD4"/>
    <w:rsid w:val="00483261"/>
    <w:rsid w:val="00484021"/>
    <w:rsid w:val="00485843"/>
    <w:rsid w:val="00485B23"/>
    <w:rsid w:val="0048630D"/>
    <w:rsid w:val="004874E4"/>
    <w:rsid w:val="0049070D"/>
    <w:rsid w:val="004914A9"/>
    <w:rsid w:val="00491BE4"/>
    <w:rsid w:val="00491DB2"/>
    <w:rsid w:val="00492877"/>
    <w:rsid w:val="00496DC2"/>
    <w:rsid w:val="00496E75"/>
    <w:rsid w:val="004A014C"/>
    <w:rsid w:val="004A0AA8"/>
    <w:rsid w:val="004A1F88"/>
    <w:rsid w:val="004A1FE4"/>
    <w:rsid w:val="004A2CA9"/>
    <w:rsid w:val="004A30C2"/>
    <w:rsid w:val="004A33EF"/>
    <w:rsid w:val="004A34C9"/>
    <w:rsid w:val="004A3CB5"/>
    <w:rsid w:val="004A441B"/>
    <w:rsid w:val="004A537D"/>
    <w:rsid w:val="004A565D"/>
    <w:rsid w:val="004A5703"/>
    <w:rsid w:val="004A64F6"/>
    <w:rsid w:val="004A67F0"/>
    <w:rsid w:val="004A71C3"/>
    <w:rsid w:val="004A74D2"/>
    <w:rsid w:val="004A7769"/>
    <w:rsid w:val="004B23AD"/>
    <w:rsid w:val="004B24E5"/>
    <w:rsid w:val="004B2965"/>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6C7D"/>
    <w:rsid w:val="004C795A"/>
    <w:rsid w:val="004C7F93"/>
    <w:rsid w:val="004D26B8"/>
    <w:rsid w:val="004D38C2"/>
    <w:rsid w:val="004D4FBD"/>
    <w:rsid w:val="004D4FC0"/>
    <w:rsid w:val="004D7DA8"/>
    <w:rsid w:val="004E2892"/>
    <w:rsid w:val="004E362B"/>
    <w:rsid w:val="004E3681"/>
    <w:rsid w:val="004E3D74"/>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B5A"/>
    <w:rsid w:val="005420DE"/>
    <w:rsid w:val="00542249"/>
    <w:rsid w:val="005431F5"/>
    <w:rsid w:val="00543707"/>
    <w:rsid w:val="00543EBB"/>
    <w:rsid w:val="00544213"/>
    <w:rsid w:val="005453F3"/>
    <w:rsid w:val="00545549"/>
    <w:rsid w:val="00546312"/>
    <w:rsid w:val="005467DC"/>
    <w:rsid w:val="005469F5"/>
    <w:rsid w:val="005518ED"/>
    <w:rsid w:val="00552093"/>
    <w:rsid w:val="00554E4B"/>
    <w:rsid w:val="00555F67"/>
    <w:rsid w:val="00556605"/>
    <w:rsid w:val="005601AC"/>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34C0"/>
    <w:rsid w:val="00574BA6"/>
    <w:rsid w:val="00580793"/>
    <w:rsid w:val="00581470"/>
    <w:rsid w:val="00581893"/>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2D6D"/>
    <w:rsid w:val="005A34D5"/>
    <w:rsid w:val="005A3BD7"/>
    <w:rsid w:val="005A4904"/>
    <w:rsid w:val="005A4959"/>
    <w:rsid w:val="005A515A"/>
    <w:rsid w:val="005A6120"/>
    <w:rsid w:val="005A6BC4"/>
    <w:rsid w:val="005A704D"/>
    <w:rsid w:val="005B1FF6"/>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FF8"/>
    <w:rsid w:val="005D4302"/>
    <w:rsid w:val="005D5A20"/>
    <w:rsid w:val="005D612D"/>
    <w:rsid w:val="005D6F3E"/>
    <w:rsid w:val="005D786C"/>
    <w:rsid w:val="005E00E5"/>
    <w:rsid w:val="005E049F"/>
    <w:rsid w:val="005E1588"/>
    <w:rsid w:val="005E3073"/>
    <w:rsid w:val="005E316A"/>
    <w:rsid w:val="005E5E1A"/>
    <w:rsid w:val="005E6C16"/>
    <w:rsid w:val="005E746D"/>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7D81"/>
    <w:rsid w:val="00610747"/>
    <w:rsid w:val="00610E03"/>
    <w:rsid w:val="00610EC7"/>
    <w:rsid w:val="0061176E"/>
    <w:rsid w:val="00612A14"/>
    <w:rsid w:val="0061417F"/>
    <w:rsid w:val="00614CD1"/>
    <w:rsid w:val="0061567B"/>
    <w:rsid w:val="0062152A"/>
    <w:rsid w:val="00621893"/>
    <w:rsid w:val="00623583"/>
    <w:rsid w:val="0062462F"/>
    <w:rsid w:val="00624BA1"/>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33BD"/>
    <w:rsid w:val="00643784"/>
    <w:rsid w:val="00644186"/>
    <w:rsid w:val="00644A21"/>
    <w:rsid w:val="00645C9F"/>
    <w:rsid w:val="00646305"/>
    <w:rsid w:val="006463D6"/>
    <w:rsid w:val="00646A6C"/>
    <w:rsid w:val="00646F20"/>
    <w:rsid w:val="006475E6"/>
    <w:rsid w:val="006508B9"/>
    <w:rsid w:val="00650CA1"/>
    <w:rsid w:val="00651854"/>
    <w:rsid w:val="006539E8"/>
    <w:rsid w:val="00655816"/>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814"/>
    <w:rsid w:val="0069320E"/>
    <w:rsid w:val="006932E7"/>
    <w:rsid w:val="00693347"/>
    <w:rsid w:val="0069334C"/>
    <w:rsid w:val="00696D63"/>
    <w:rsid w:val="0069729C"/>
    <w:rsid w:val="006A032F"/>
    <w:rsid w:val="006A41AE"/>
    <w:rsid w:val="006A4856"/>
    <w:rsid w:val="006A564B"/>
    <w:rsid w:val="006B0386"/>
    <w:rsid w:val="006B08CF"/>
    <w:rsid w:val="006B0B90"/>
    <w:rsid w:val="006B1545"/>
    <w:rsid w:val="006B2DA7"/>
    <w:rsid w:val="006B2F4D"/>
    <w:rsid w:val="006B3682"/>
    <w:rsid w:val="006B48CB"/>
    <w:rsid w:val="006B7CE0"/>
    <w:rsid w:val="006C08C5"/>
    <w:rsid w:val="006C1445"/>
    <w:rsid w:val="006C3959"/>
    <w:rsid w:val="006C4FC1"/>
    <w:rsid w:val="006C51A5"/>
    <w:rsid w:val="006C529D"/>
    <w:rsid w:val="006C5670"/>
    <w:rsid w:val="006C58B2"/>
    <w:rsid w:val="006C7B01"/>
    <w:rsid w:val="006C7CC9"/>
    <w:rsid w:val="006C7CFC"/>
    <w:rsid w:val="006D0E6B"/>
    <w:rsid w:val="006D1073"/>
    <w:rsid w:val="006D2146"/>
    <w:rsid w:val="006D632E"/>
    <w:rsid w:val="006E094A"/>
    <w:rsid w:val="006E12B1"/>
    <w:rsid w:val="006E13D1"/>
    <w:rsid w:val="006E1A08"/>
    <w:rsid w:val="006E283E"/>
    <w:rsid w:val="006E2A4B"/>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687A"/>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40FE"/>
    <w:rsid w:val="0074655A"/>
    <w:rsid w:val="007469B7"/>
    <w:rsid w:val="00746C78"/>
    <w:rsid w:val="00751B94"/>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6881"/>
    <w:rsid w:val="007A72EE"/>
    <w:rsid w:val="007B0397"/>
    <w:rsid w:val="007B3502"/>
    <w:rsid w:val="007B44ED"/>
    <w:rsid w:val="007B491A"/>
    <w:rsid w:val="007B5370"/>
    <w:rsid w:val="007B6123"/>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2BBA"/>
    <w:rsid w:val="007D3307"/>
    <w:rsid w:val="007D432A"/>
    <w:rsid w:val="007D5A88"/>
    <w:rsid w:val="007D5E27"/>
    <w:rsid w:val="007D6F64"/>
    <w:rsid w:val="007E12FD"/>
    <w:rsid w:val="007E25AB"/>
    <w:rsid w:val="007E2C70"/>
    <w:rsid w:val="007E45BC"/>
    <w:rsid w:val="007E5AC2"/>
    <w:rsid w:val="007E79C5"/>
    <w:rsid w:val="007F0036"/>
    <w:rsid w:val="007F143A"/>
    <w:rsid w:val="007F2845"/>
    <w:rsid w:val="007F43BC"/>
    <w:rsid w:val="007F4740"/>
    <w:rsid w:val="007F5CEB"/>
    <w:rsid w:val="007F6202"/>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4A9"/>
    <w:rsid w:val="00870D04"/>
    <w:rsid w:val="0087121B"/>
    <w:rsid w:val="008714B6"/>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3BD"/>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2B4C"/>
    <w:rsid w:val="009E3CD1"/>
    <w:rsid w:val="009E5AF5"/>
    <w:rsid w:val="009E5EB5"/>
    <w:rsid w:val="009E74F0"/>
    <w:rsid w:val="009F0768"/>
    <w:rsid w:val="009F7867"/>
    <w:rsid w:val="009F7D66"/>
    <w:rsid w:val="00A00BD2"/>
    <w:rsid w:val="00A00E56"/>
    <w:rsid w:val="00A027F3"/>
    <w:rsid w:val="00A02FAD"/>
    <w:rsid w:val="00A03978"/>
    <w:rsid w:val="00A05DF3"/>
    <w:rsid w:val="00A05F1A"/>
    <w:rsid w:val="00A0670C"/>
    <w:rsid w:val="00A07E08"/>
    <w:rsid w:val="00A103C6"/>
    <w:rsid w:val="00A12798"/>
    <w:rsid w:val="00A153BE"/>
    <w:rsid w:val="00A15DEE"/>
    <w:rsid w:val="00A167B5"/>
    <w:rsid w:val="00A168A6"/>
    <w:rsid w:val="00A16DBE"/>
    <w:rsid w:val="00A17C4F"/>
    <w:rsid w:val="00A20653"/>
    <w:rsid w:val="00A20A39"/>
    <w:rsid w:val="00A21013"/>
    <w:rsid w:val="00A2190A"/>
    <w:rsid w:val="00A22681"/>
    <w:rsid w:val="00A238BD"/>
    <w:rsid w:val="00A23DA4"/>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2906"/>
    <w:rsid w:val="00A53DA0"/>
    <w:rsid w:val="00A5765D"/>
    <w:rsid w:val="00A607CB"/>
    <w:rsid w:val="00A6351F"/>
    <w:rsid w:val="00A65A70"/>
    <w:rsid w:val="00A66F36"/>
    <w:rsid w:val="00A676D9"/>
    <w:rsid w:val="00A67EFC"/>
    <w:rsid w:val="00A7031E"/>
    <w:rsid w:val="00A71140"/>
    <w:rsid w:val="00A71DC7"/>
    <w:rsid w:val="00A72B7B"/>
    <w:rsid w:val="00A73790"/>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A2D"/>
    <w:rsid w:val="00B04048"/>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6BCD"/>
    <w:rsid w:val="00B76EE9"/>
    <w:rsid w:val="00B77880"/>
    <w:rsid w:val="00B80D90"/>
    <w:rsid w:val="00B80E77"/>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2B80"/>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98A"/>
    <w:rsid w:val="00BD75B4"/>
    <w:rsid w:val="00BD7BFE"/>
    <w:rsid w:val="00BD7D14"/>
    <w:rsid w:val="00BE02B4"/>
    <w:rsid w:val="00BE0A4E"/>
    <w:rsid w:val="00BE1553"/>
    <w:rsid w:val="00BE19DC"/>
    <w:rsid w:val="00BE4EC9"/>
    <w:rsid w:val="00BE631E"/>
    <w:rsid w:val="00BE71F7"/>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E39"/>
    <w:rsid w:val="00C14164"/>
    <w:rsid w:val="00C15D8E"/>
    <w:rsid w:val="00C17012"/>
    <w:rsid w:val="00C178FB"/>
    <w:rsid w:val="00C22B28"/>
    <w:rsid w:val="00C22B5A"/>
    <w:rsid w:val="00C23E6D"/>
    <w:rsid w:val="00C247BF"/>
    <w:rsid w:val="00C257B7"/>
    <w:rsid w:val="00C27265"/>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306D"/>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48F"/>
    <w:rsid w:val="00C66D27"/>
    <w:rsid w:val="00C66E69"/>
    <w:rsid w:val="00C70084"/>
    <w:rsid w:val="00C7235B"/>
    <w:rsid w:val="00C72E18"/>
    <w:rsid w:val="00C731AD"/>
    <w:rsid w:val="00C73379"/>
    <w:rsid w:val="00C7380B"/>
    <w:rsid w:val="00C74421"/>
    <w:rsid w:val="00C7542D"/>
    <w:rsid w:val="00C75F2F"/>
    <w:rsid w:val="00C75FEE"/>
    <w:rsid w:val="00C76F1D"/>
    <w:rsid w:val="00C77D26"/>
    <w:rsid w:val="00C80BDF"/>
    <w:rsid w:val="00C84D39"/>
    <w:rsid w:val="00C85277"/>
    <w:rsid w:val="00C85D76"/>
    <w:rsid w:val="00C864D4"/>
    <w:rsid w:val="00C873AC"/>
    <w:rsid w:val="00C87B19"/>
    <w:rsid w:val="00C92490"/>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A64D5"/>
    <w:rsid w:val="00CB09DA"/>
    <w:rsid w:val="00CB0BD9"/>
    <w:rsid w:val="00CB1CAC"/>
    <w:rsid w:val="00CB1D87"/>
    <w:rsid w:val="00CB1DE8"/>
    <w:rsid w:val="00CB1E3B"/>
    <w:rsid w:val="00CB1F1D"/>
    <w:rsid w:val="00CB4212"/>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E1757"/>
    <w:rsid w:val="00CE2346"/>
    <w:rsid w:val="00CE2B02"/>
    <w:rsid w:val="00CE3B50"/>
    <w:rsid w:val="00CE4F2D"/>
    <w:rsid w:val="00CE6F0F"/>
    <w:rsid w:val="00CE7C7C"/>
    <w:rsid w:val="00CF002F"/>
    <w:rsid w:val="00CF0246"/>
    <w:rsid w:val="00CF0C02"/>
    <w:rsid w:val="00CF1899"/>
    <w:rsid w:val="00CF2483"/>
    <w:rsid w:val="00CF24E2"/>
    <w:rsid w:val="00CF321D"/>
    <w:rsid w:val="00CF393D"/>
    <w:rsid w:val="00CF4ABD"/>
    <w:rsid w:val="00CF5A53"/>
    <w:rsid w:val="00CF5D28"/>
    <w:rsid w:val="00CF6942"/>
    <w:rsid w:val="00CF6F1E"/>
    <w:rsid w:val="00D001F9"/>
    <w:rsid w:val="00D0036E"/>
    <w:rsid w:val="00D00BB7"/>
    <w:rsid w:val="00D01EAD"/>
    <w:rsid w:val="00D02C62"/>
    <w:rsid w:val="00D035B9"/>
    <w:rsid w:val="00D060FF"/>
    <w:rsid w:val="00D064E8"/>
    <w:rsid w:val="00D06572"/>
    <w:rsid w:val="00D065CD"/>
    <w:rsid w:val="00D07D93"/>
    <w:rsid w:val="00D11FA6"/>
    <w:rsid w:val="00D12325"/>
    <w:rsid w:val="00D14487"/>
    <w:rsid w:val="00D14DBB"/>
    <w:rsid w:val="00D15E7E"/>
    <w:rsid w:val="00D162EF"/>
    <w:rsid w:val="00D20016"/>
    <w:rsid w:val="00D207A7"/>
    <w:rsid w:val="00D20CD6"/>
    <w:rsid w:val="00D20E00"/>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3077"/>
    <w:rsid w:val="00D736A2"/>
    <w:rsid w:val="00D73C57"/>
    <w:rsid w:val="00D742FF"/>
    <w:rsid w:val="00D758B3"/>
    <w:rsid w:val="00D76ADC"/>
    <w:rsid w:val="00D77413"/>
    <w:rsid w:val="00D81F10"/>
    <w:rsid w:val="00D8201E"/>
    <w:rsid w:val="00D8303C"/>
    <w:rsid w:val="00D84A57"/>
    <w:rsid w:val="00D84C3B"/>
    <w:rsid w:val="00D864F8"/>
    <w:rsid w:val="00D874DF"/>
    <w:rsid w:val="00D87A12"/>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4C1A"/>
    <w:rsid w:val="00DF775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39D1"/>
    <w:rsid w:val="00E26727"/>
    <w:rsid w:val="00E26970"/>
    <w:rsid w:val="00E27791"/>
    <w:rsid w:val="00E30F2D"/>
    <w:rsid w:val="00E319DB"/>
    <w:rsid w:val="00E31AFC"/>
    <w:rsid w:val="00E331BF"/>
    <w:rsid w:val="00E3409E"/>
    <w:rsid w:val="00E34F76"/>
    <w:rsid w:val="00E37BE5"/>
    <w:rsid w:val="00E41A27"/>
    <w:rsid w:val="00E41E2F"/>
    <w:rsid w:val="00E42910"/>
    <w:rsid w:val="00E430C7"/>
    <w:rsid w:val="00E4608B"/>
    <w:rsid w:val="00E464EC"/>
    <w:rsid w:val="00E46FF0"/>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4104"/>
    <w:rsid w:val="00E7473C"/>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29B4"/>
    <w:rsid w:val="00EA4EC9"/>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5692"/>
    <w:rsid w:val="00ED6D4A"/>
    <w:rsid w:val="00ED738C"/>
    <w:rsid w:val="00ED7918"/>
    <w:rsid w:val="00ED7FD3"/>
    <w:rsid w:val="00EE16F6"/>
    <w:rsid w:val="00EE3663"/>
    <w:rsid w:val="00EE41C4"/>
    <w:rsid w:val="00EE4A40"/>
    <w:rsid w:val="00EE76A9"/>
    <w:rsid w:val="00EE799E"/>
    <w:rsid w:val="00EE7B5A"/>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420E"/>
    <w:rsid w:val="00F143A1"/>
    <w:rsid w:val="00F16739"/>
    <w:rsid w:val="00F16DE2"/>
    <w:rsid w:val="00F17C5F"/>
    <w:rsid w:val="00F2052B"/>
    <w:rsid w:val="00F210C7"/>
    <w:rsid w:val="00F213FF"/>
    <w:rsid w:val="00F2260F"/>
    <w:rsid w:val="00F23DF5"/>
    <w:rsid w:val="00F242AD"/>
    <w:rsid w:val="00F247F2"/>
    <w:rsid w:val="00F252A8"/>
    <w:rsid w:val="00F2608D"/>
    <w:rsid w:val="00F265F7"/>
    <w:rsid w:val="00F27FA6"/>
    <w:rsid w:val="00F33DC8"/>
    <w:rsid w:val="00F34444"/>
    <w:rsid w:val="00F360A6"/>
    <w:rsid w:val="00F4065A"/>
    <w:rsid w:val="00F40F19"/>
    <w:rsid w:val="00F4275C"/>
    <w:rsid w:val="00F45693"/>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C0065"/>
    <w:rsid w:val="00FC15E7"/>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5AIRPNAIUNRU-1830940522-2273</_dlc_DocId>
    <_dlc_DocIdUrl xmlns="71c5aaf6-e6ce-465b-b873-5148d2a4c105">
      <Url>https://nokia.sharepoint.com/sites/c5g/5gradio/_layouts/15/DocIdRedir.aspx?ID=5AIRPNAIUNRU-1830940522-2273</Url>
      <Description>5AIRPNAIUNRU-1830940522-2273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2.xml><?xml version="1.0" encoding="utf-8"?>
<ds:datastoreItem xmlns:ds="http://schemas.openxmlformats.org/officeDocument/2006/customXml" ds:itemID="{99982E4F-F1BD-4EEF-A19E-D303FB4F0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F050994-6C09-4D51-8DE8-00E9DCE98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Schober, Karol (Nokia - FI/Espoo)</cp:lastModifiedBy>
  <cp:revision>2</cp:revision>
  <cp:lastPrinted>2016-06-20T11:35:00Z</cp:lastPrinted>
  <dcterms:created xsi:type="dcterms:W3CDTF">2017-11-17T19:26:00Z</dcterms:created>
  <dcterms:modified xsi:type="dcterms:W3CDTF">2017-11-17T19:26:00Z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d4b330d0-1615-4eec-a021-f98304ddbb81</vt:lpwstr>
  </property>
</Properties>
</file>